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2C9D" w14:textId="473E177A" w:rsidR="009D51D6" w:rsidRPr="009D51D6" w:rsidRDefault="009D51D6" w:rsidP="00102563">
      <w:pPr>
        <w:shd w:val="clear" w:color="auto" w:fill="FEFEFE"/>
        <w:spacing w:after="100" w:afterAutospacing="1" w:line="240" w:lineRule="auto"/>
        <w:rPr>
          <w:rFonts w:eastAsia="Times New Roman" w:cstheme="minorHAnsi"/>
          <w:color w:val="000000" w:themeColor="text1"/>
          <w:spacing w:val="4"/>
        </w:rPr>
      </w:pPr>
      <w:r w:rsidRPr="009D51D6">
        <w:rPr>
          <w:rFonts w:eastAsia="Times New Roman" w:cstheme="minorHAnsi"/>
          <w:b/>
          <w:bCs/>
          <w:color w:val="000000" w:themeColor="text1"/>
          <w:spacing w:val="4"/>
        </w:rPr>
        <w:t xml:space="preserve">Objectives: </w:t>
      </w:r>
    </w:p>
    <w:p w14:paraId="39ECA429" w14:textId="77777777" w:rsidR="009D51D6" w:rsidRPr="009D51D6" w:rsidRDefault="009D51D6" w:rsidP="009D51D6">
      <w:pPr>
        <w:numPr>
          <w:ilvl w:val="0"/>
          <w:numId w:val="6"/>
        </w:numPr>
        <w:spacing w:after="0" w:line="240" w:lineRule="auto"/>
        <w:textAlignment w:val="baseline"/>
        <w:rPr>
          <w:rFonts w:eastAsia="Times New Roman" w:cstheme="minorHAnsi"/>
          <w:color w:val="000000" w:themeColor="text1"/>
          <w:spacing w:val="4"/>
        </w:rPr>
      </w:pPr>
      <w:r w:rsidRPr="009D51D6">
        <w:rPr>
          <w:rFonts w:eastAsia="Times New Roman" w:cstheme="minorHAnsi"/>
          <w:color w:val="000000" w:themeColor="text1"/>
          <w:spacing w:val="4"/>
        </w:rPr>
        <w:t>Identify bacterial pathogens commonly responsible for community acquired pneumonia (CAP)and risk factors associated with more resistant pathogens. </w:t>
      </w:r>
    </w:p>
    <w:p w14:paraId="46629488" w14:textId="77777777" w:rsidR="009D51D6" w:rsidRPr="009D51D6" w:rsidRDefault="009D51D6" w:rsidP="009D51D6">
      <w:pPr>
        <w:numPr>
          <w:ilvl w:val="0"/>
          <w:numId w:val="6"/>
        </w:numPr>
        <w:spacing w:after="0" w:line="240" w:lineRule="auto"/>
        <w:textAlignment w:val="baseline"/>
        <w:rPr>
          <w:rFonts w:eastAsia="Times New Roman" w:cstheme="minorHAnsi"/>
          <w:color w:val="000000" w:themeColor="text1"/>
          <w:spacing w:val="4"/>
        </w:rPr>
      </w:pPr>
      <w:r w:rsidRPr="009D51D6">
        <w:rPr>
          <w:rFonts w:eastAsia="Times New Roman" w:cstheme="minorHAnsi"/>
          <w:color w:val="000000" w:themeColor="text1"/>
          <w:spacing w:val="4"/>
        </w:rPr>
        <w:t>Determine CAP severity using the PSI, CURB-65, and ATS criteria and use this to determine appropriate site of care.</w:t>
      </w:r>
    </w:p>
    <w:p w14:paraId="4EE904DD" w14:textId="77777777" w:rsidR="009D51D6" w:rsidRPr="009D51D6" w:rsidRDefault="009D51D6" w:rsidP="009D51D6">
      <w:pPr>
        <w:numPr>
          <w:ilvl w:val="0"/>
          <w:numId w:val="6"/>
        </w:numPr>
        <w:spacing w:after="0" w:line="240" w:lineRule="auto"/>
        <w:textAlignment w:val="baseline"/>
        <w:rPr>
          <w:rFonts w:eastAsia="Times New Roman" w:cstheme="minorHAnsi"/>
          <w:color w:val="000000" w:themeColor="text1"/>
          <w:spacing w:val="4"/>
        </w:rPr>
      </w:pPr>
      <w:r w:rsidRPr="009D51D6">
        <w:rPr>
          <w:rFonts w:eastAsia="Times New Roman" w:cstheme="minorHAnsi"/>
          <w:color w:val="000000" w:themeColor="text1"/>
          <w:spacing w:val="4"/>
        </w:rPr>
        <w:t>Manage a non-severe and severe CAP in the hospital.</w:t>
      </w:r>
    </w:p>
    <w:p w14:paraId="5C6C7BDC" w14:textId="77777777" w:rsidR="009D51D6" w:rsidRPr="009D51D6" w:rsidRDefault="009D51D6" w:rsidP="009D51D6">
      <w:pPr>
        <w:numPr>
          <w:ilvl w:val="0"/>
          <w:numId w:val="6"/>
        </w:numPr>
        <w:spacing w:after="0" w:line="240" w:lineRule="auto"/>
        <w:textAlignment w:val="baseline"/>
        <w:rPr>
          <w:rFonts w:eastAsia="Times New Roman" w:cstheme="minorHAnsi"/>
          <w:color w:val="000000" w:themeColor="text1"/>
          <w:spacing w:val="4"/>
        </w:rPr>
      </w:pPr>
      <w:r w:rsidRPr="009D51D6">
        <w:rPr>
          <w:rFonts w:eastAsia="Times New Roman" w:cstheme="minorHAnsi"/>
          <w:color w:val="000000" w:themeColor="text1"/>
          <w:spacing w:val="4"/>
        </w:rPr>
        <w:t>Manage CAP in the ambulatory setting. </w:t>
      </w:r>
    </w:p>
    <w:p w14:paraId="56E25F0F" w14:textId="47E792B1" w:rsidR="009D51D6" w:rsidRPr="009D51D6" w:rsidRDefault="009D51D6" w:rsidP="009D51D6">
      <w:pPr>
        <w:rPr>
          <w:rFonts w:cstheme="minorHAnsi"/>
          <w:color w:val="000000" w:themeColor="text1"/>
        </w:rPr>
      </w:pPr>
      <w:r w:rsidRPr="009D51D6">
        <w:rPr>
          <w:rFonts w:cstheme="minorHAnsi"/>
          <w:color w:val="000000" w:themeColor="text1"/>
        </w:rPr>
        <w:t>____________________________________________________________________________________</w:t>
      </w:r>
    </w:p>
    <w:p w14:paraId="59E39E41" w14:textId="6BDE6E2E" w:rsidR="00102563" w:rsidRPr="00102563" w:rsidRDefault="00102563" w:rsidP="00102563">
      <w:pPr>
        <w:shd w:val="clear" w:color="auto" w:fill="FEFEFE"/>
        <w:spacing w:after="100" w:afterAutospacing="1" w:line="240" w:lineRule="auto"/>
        <w:rPr>
          <w:rFonts w:eastAsia="Times New Roman" w:cstheme="minorHAnsi"/>
          <w:color w:val="000000" w:themeColor="text1"/>
          <w:spacing w:val="4"/>
        </w:rPr>
      </w:pPr>
      <w:r w:rsidRPr="00102563">
        <w:rPr>
          <w:rFonts w:eastAsia="Times New Roman" w:cstheme="minorHAnsi"/>
          <w:b/>
          <w:bCs/>
          <w:color w:val="000000" w:themeColor="text1"/>
          <w:spacing w:val="4"/>
          <w:u w:val="single"/>
        </w:rPr>
        <w:t>Objective 1</w:t>
      </w:r>
      <w:r w:rsidRPr="00102563">
        <w:rPr>
          <w:rFonts w:eastAsia="Times New Roman" w:cstheme="minorHAnsi"/>
          <w:b/>
          <w:bCs/>
          <w:color w:val="000000" w:themeColor="text1"/>
          <w:spacing w:val="4"/>
        </w:rPr>
        <w:t>: Microbiology and MDR risk factors</w:t>
      </w:r>
    </w:p>
    <w:p w14:paraId="0C3B113D" w14:textId="0097287C" w:rsidR="00102563" w:rsidRPr="00102563" w:rsidRDefault="00102563" w:rsidP="00102563">
      <w:pPr>
        <w:numPr>
          <w:ilvl w:val="0"/>
          <w:numId w:val="1"/>
        </w:numPr>
        <w:spacing w:after="0" w:line="240" w:lineRule="auto"/>
        <w:textAlignment w:val="baseline"/>
        <w:rPr>
          <w:rFonts w:eastAsia="Times New Roman" w:cstheme="minorHAnsi"/>
          <w:color w:val="000000" w:themeColor="text1"/>
          <w:spacing w:val="4"/>
        </w:rPr>
      </w:pPr>
      <w:r w:rsidRPr="00102563">
        <w:rPr>
          <w:rFonts w:eastAsia="Times New Roman" w:cstheme="minorHAnsi"/>
          <w:i/>
          <w:iCs/>
          <w:color w:val="000000" w:themeColor="text1"/>
          <w:spacing w:val="4"/>
        </w:rPr>
        <w:t>Slide Diagnosis</w:t>
      </w:r>
      <w:r w:rsidRPr="00102563">
        <w:rPr>
          <w:rFonts w:eastAsia="Times New Roman" w:cstheme="minorHAnsi"/>
          <w:color w:val="000000" w:themeColor="text1"/>
          <w:spacing w:val="4"/>
        </w:rPr>
        <w:t xml:space="preserve">: Ask your learners to recap the signs and symptoms of pneumonia. Highlight </w:t>
      </w:r>
      <w:proofErr w:type="gramStart"/>
      <w:r w:rsidR="009D51D6" w:rsidRPr="009D51D6">
        <w:rPr>
          <w:rFonts w:eastAsia="Times New Roman" w:cstheme="minorHAnsi"/>
          <w:color w:val="000000" w:themeColor="text1"/>
          <w:spacing w:val="4"/>
        </w:rPr>
        <w:t>that multiple different radiographic patterns</w:t>
      </w:r>
      <w:proofErr w:type="gramEnd"/>
      <w:r w:rsidRPr="00102563">
        <w:rPr>
          <w:rFonts w:eastAsia="Times New Roman" w:cstheme="minorHAnsi"/>
          <w:color w:val="000000" w:themeColor="text1"/>
          <w:spacing w:val="4"/>
        </w:rPr>
        <w:t xml:space="preserve"> can be suggestive of pneumonia. Ask your learners about the most common pathogens in CAP. The pneumococcal vaccine has decreased the rates </w:t>
      </w:r>
      <w:r w:rsidRPr="00102563">
        <w:rPr>
          <w:rFonts w:eastAsia="Times New Roman" w:cstheme="minorHAnsi"/>
          <w:i/>
          <w:iCs/>
          <w:color w:val="000000" w:themeColor="text1"/>
          <w:spacing w:val="4"/>
        </w:rPr>
        <w:t>S. pneumoniae </w:t>
      </w:r>
      <w:r w:rsidRPr="00102563">
        <w:rPr>
          <w:rFonts w:eastAsia="Times New Roman" w:cstheme="minorHAnsi"/>
          <w:color w:val="000000" w:themeColor="text1"/>
          <w:spacing w:val="4"/>
        </w:rPr>
        <w:t xml:space="preserve">CAP, though it </w:t>
      </w:r>
      <w:r w:rsidR="009D51D6" w:rsidRPr="009D51D6">
        <w:rPr>
          <w:rFonts w:eastAsia="Times New Roman" w:cstheme="minorHAnsi"/>
          <w:color w:val="000000" w:themeColor="text1"/>
          <w:spacing w:val="4"/>
        </w:rPr>
        <w:t>remains</w:t>
      </w:r>
      <w:r w:rsidRPr="00102563">
        <w:rPr>
          <w:rFonts w:eastAsia="Times New Roman" w:cstheme="minorHAnsi"/>
          <w:color w:val="000000" w:themeColor="text1"/>
          <w:spacing w:val="4"/>
        </w:rPr>
        <w:t xml:space="preserve"> the predominant cause. </w:t>
      </w:r>
    </w:p>
    <w:p w14:paraId="67C142B2" w14:textId="7C28A4C4" w:rsidR="002E609B" w:rsidRDefault="00102563" w:rsidP="002E609B">
      <w:pPr>
        <w:numPr>
          <w:ilvl w:val="0"/>
          <w:numId w:val="1"/>
        </w:numPr>
        <w:spacing w:after="0" w:line="240" w:lineRule="auto"/>
        <w:textAlignment w:val="baseline"/>
        <w:rPr>
          <w:rFonts w:eastAsia="Times New Roman" w:cstheme="minorHAnsi"/>
          <w:color w:val="000000" w:themeColor="text1"/>
          <w:spacing w:val="4"/>
        </w:rPr>
      </w:pPr>
      <w:r w:rsidRPr="00102563">
        <w:rPr>
          <w:rFonts w:eastAsia="Times New Roman" w:cstheme="minorHAnsi"/>
          <w:i/>
          <w:iCs/>
          <w:color w:val="000000" w:themeColor="text1"/>
          <w:spacing w:val="4"/>
        </w:rPr>
        <w:t>Slide Classification – MDR Risk Factors</w:t>
      </w:r>
      <w:r w:rsidRPr="00102563">
        <w:rPr>
          <w:rFonts w:eastAsia="Times New Roman" w:cstheme="minorHAnsi"/>
          <w:color w:val="000000" w:themeColor="text1"/>
          <w:spacing w:val="4"/>
        </w:rPr>
        <w:t>: A subset of patients have risk factors for more resistant organisms such as MRSA or </w:t>
      </w:r>
      <w:r w:rsidRPr="00102563">
        <w:rPr>
          <w:rFonts w:eastAsia="Times New Roman" w:cstheme="minorHAnsi"/>
          <w:i/>
          <w:iCs/>
          <w:color w:val="000000" w:themeColor="text1"/>
          <w:spacing w:val="4"/>
        </w:rPr>
        <w:t>Pseudomonas.</w:t>
      </w:r>
      <w:r w:rsidRPr="00102563">
        <w:rPr>
          <w:rFonts w:eastAsia="Times New Roman" w:cstheme="minorHAnsi"/>
          <w:color w:val="000000" w:themeColor="text1"/>
          <w:spacing w:val="4"/>
        </w:rPr>
        <w:t> Historically, these patients were captured in a separate entity called healthcare associated pneumonia (HCAP). </w:t>
      </w:r>
      <w:r w:rsidRPr="00102563">
        <w:rPr>
          <w:rFonts w:eastAsia="Times New Roman" w:cstheme="minorHAnsi"/>
          <w:i/>
          <w:iCs/>
          <w:color w:val="000000" w:themeColor="text1"/>
          <w:spacing w:val="4"/>
        </w:rPr>
        <w:t>Click on “Older Guidelines” to review prior designation.</w:t>
      </w:r>
      <w:r w:rsidR="002E609B">
        <w:rPr>
          <w:rFonts w:eastAsia="Times New Roman" w:cstheme="minorHAnsi"/>
          <w:i/>
          <w:iCs/>
          <w:color w:val="000000" w:themeColor="text1"/>
          <w:spacing w:val="4"/>
        </w:rPr>
        <w:t xml:space="preserve"> </w:t>
      </w:r>
      <w:r w:rsidRPr="00102563">
        <w:rPr>
          <w:rFonts w:eastAsia="Times New Roman" w:cstheme="minorHAnsi"/>
          <w:i/>
          <w:iCs/>
          <w:color w:val="000000" w:themeColor="text1"/>
          <w:spacing w:val="4"/>
        </w:rPr>
        <w:t>Then click on “2019 Guidelines” to reveal new classification.</w:t>
      </w:r>
      <w:r w:rsidRPr="00102563">
        <w:rPr>
          <w:rFonts w:eastAsia="Times New Roman" w:cstheme="minorHAnsi"/>
          <w:color w:val="000000" w:themeColor="text1"/>
          <w:spacing w:val="4"/>
        </w:rPr>
        <w:t> </w:t>
      </w:r>
    </w:p>
    <w:p w14:paraId="136D6417" w14:textId="44CF8229" w:rsidR="00102563" w:rsidRPr="00102563" w:rsidRDefault="00102563" w:rsidP="002E609B">
      <w:pPr>
        <w:numPr>
          <w:ilvl w:val="1"/>
          <w:numId w:val="1"/>
        </w:numPr>
        <w:spacing w:after="0" w:line="240" w:lineRule="auto"/>
        <w:textAlignment w:val="baseline"/>
        <w:rPr>
          <w:rFonts w:eastAsia="Times New Roman" w:cstheme="minorHAnsi"/>
          <w:color w:val="000000" w:themeColor="text1"/>
          <w:spacing w:val="4"/>
        </w:rPr>
      </w:pPr>
      <w:r w:rsidRPr="00102563">
        <w:rPr>
          <w:rFonts w:eastAsia="Times New Roman" w:cstheme="minorHAnsi"/>
          <w:color w:val="000000" w:themeColor="text1"/>
          <w:spacing w:val="4"/>
        </w:rPr>
        <w:t xml:space="preserve">The 2019 ATS/IDSA Guidelines have abandoned the use of HCAP because prior criteria (such as residence in a nursing home, dialysis, wound care, </w:t>
      </w:r>
      <w:proofErr w:type="spellStart"/>
      <w:r w:rsidRPr="00102563">
        <w:rPr>
          <w:rFonts w:eastAsia="Times New Roman" w:cstheme="minorHAnsi"/>
          <w:color w:val="000000" w:themeColor="text1"/>
          <w:spacing w:val="4"/>
        </w:rPr>
        <w:t>etc</w:t>
      </w:r>
      <w:proofErr w:type="spellEnd"/>
      <w:r w:rsidRPr="00102563">
        <w:rPr>
          <w:rFonts w:eastAsia="Times New Roman" w:cstheme="minorHAnsi"/>
          <w:color w:val="000000" w:themeColor="text1"/>
          <w:spacing w:val="4"/>
        </w:rPr>
        <w:t>) were not necessarily predictive of colonization with more resistant organisms and led to overtreatment with broad spectrum antibiotics. Instead, these patients are now captured under CAP with the focus on local epidemiological and validated risk factors.</w:t>
      </w:r>
    </w:p>
    <w:p w14:paraId="66A58465" w14:textId="77777777" w:rsidR="00102563" w:rsidRPr="00102563" w:rsidRDefault="00102563" w:rsidP="00102563">
      <w:pPr>
        <w:numPr>
          <w:ilvl w:val="1"/>
          <w:numId w:val="1"/>
        </w:numPr>
        <w:spacing w:after="0" w:line="240" w:lineRule="auto"/>
        <w:textAlignment w:val="baseline"/>
        <w:rPr>
          <w:rFonts w:eastAsia="Times New Roman" w:cstheme="minorHAnsi"/>
          <w:color w:val="000000" w:themeColor="text1"/>
          <w:spacing w:val="4"/>
        </w:rPr>
      </w:pPr>
      <w:r w:rsidRPr="00102563">
        <w:rPr>
          <w:rFonts w:eastAsia="Times New Roman" w:cstheme="minorHAnsi"/>
          <w:color w:val="000000" w:themeColor="text1"/>
          <w:spacing w:val="4"/>
        </w:rPr>
        <w:t>The most consistent risk factors include 1) prior colonization/infection with MRSA or </w:t>
      </w:r>
      <w:r w:rsidRPr="00102563">
        <w:rPr>
          <w:rFonts w:eastAsia="Times New Roman" w:cstheme="minorHAnsi"/>
          <w:i/>
          <w:iCs/>
          <w:color w:val="000000" w:themeColor="text1"/>
          <w:spacing w:val="4"/>
        </w:rPr>
        <w:t>Pseudomonas </w:t>
      </w:r>
      <w:r w:rsidRPr="00102563">
        <w:rPr>
          <w:rFonts w:eastAsia="Times New Roman" w:cstheme="minorHAnsi"/>
          <w:color w:val="000000" w:themeColor="text1"/>
          <w:spacing w:val="4"/>
        </w:rPr>
        <w:t>and 2) prior hospitalization and receipt of IV antibiotics within 90 d.  </w:t>
      </w:r>
    </w:p>
    <w:p w14:paraId="76D4FFD0" w14:textId="77777777" w:rsidR="00102563" w:rsidRPr="00102563" w:rsidRDefault="00102563" w:rsidP="00102563">
      <w:pPr>
        <w:shd w:val="clear" w:color="auto" w:fill="FEFEFE"/>
        <w:spacing w:after="100" w:afterAutospacing="1" w:line="240" w:lineRule="auto"/>
        <w:rPr>
          <w:rFonts w:eastAsia="Times New Roman" w:cstheme="minorHAnsi"/>
          <w:color w:val="000000" w:themeColor="text1"/>
          <w:spacing w:val="4"/>
        </w:rPr>
      </w:pPr>
      <w:r w:rsidRPr="00102563">
        <w:rPr>
          <w:rFonts w:eastAsia="Times New Roman" w:cstheme="minorHAnsi"/>
          <w:b/>
          <w:bCs/>
          <w:color w:val="000000" w:themeColor="text1"/>
          <w:spacing w:val="4"/>
          <w:u w:val="single"/>
        </w:rPr>
        <w:br/>
        <w:t>Objective 2</w:t>
      </w:r>
      <w:r w:rsidRPr="00102563">
        <w:rPr>
          <w:rFonts w:eastAsia="Times New Roman" w:cstheme="minorHAnsi"/>
          <w:b/>
          <w:bCs/>
          <w:color w:val="000000" w:themeColor="text1"/>
          <w:spacing w:val="4"/>
        </w:rPr>
        <w:t>: Determine CAP severity using PSI and CURB-65.</w:t>
      </w:r>
    </w:p>
    <w:p w14:paraId="6466C8B2" w14:textId="77777777" w:rsidR="00102563" w:rsidRPr="00102563" w:rsidRDefault="00102563" w:rsidP="00102563">
      <w:pPr>
        <w:numPr>
          <w:ilvl w:val="0"/>
          <w:numId w:val="2"/>
        </w:numPr>
        <w:spacing w:after="0" w:line="240" w:lineRule="auto"/>
        <w:textAlignment w:val="baseline"/>
        <w:rPr>
          <w:rFonts w:eastAsia="Times New Roman" w:cstheme="minorHAnsi"/>
          <w:color w:val="000000" w:themeColor="text1"/>
          <w:spacing w:val="4"/>
        </w:rPr>
      </w:pPr>
      <w:r w:rsidRPr="00102563">
        <w:rPr>
          <w:rFonts w:eastAsia="Times New Roman" w:cstheme="minorHAnsi"/>
          <w:i/>
          <w:iCs/>
          <w:color w:val="000000" w:themeColor="text1"/>
          <w:spacing w:val="4"/>
        </w:rPr>
        <w:t>Slide Classification – Severity</w:t>
      </w:r>
      <w:r w:rsidRPr="00102563">
        <w:rPr>
          <w:rFonts w:eastAsia="Times New Roman" w:cstheme="minorHAnsi"/>
          <w:color w:val="000000" w:themeColor="text1"/>
          <w:spacing w:val="4"/>
        </w:rPr>
        <w:t>: Pneumonia severity is scored using either the Pneumonia Severity Score (PSI) or CURB-65 scoring system. PSI is better validated and preferred, but the CURB-65 scoring system can be used as an alternative as its easier to remember.</w:t>
      </w:r>
    </w:p>
    <w:p w14:paraId="562E3180" w14:textId="03B25E58" w:rsidR="00102563" w:rsidRPr="00102563" w:rsidRDefault="00102563" w:rsidP="00102563">
      <w:pPr>
        <w:numPr>
          <w:ilvl w:val="1"/>
          <w:numId w:val="2"/>
        </w:numPr>
        <w:spacing w:after="0" w:line="240" w:lineRule="auto"/>
        <w:textAlignment w:val="baseline"/>
        <w:rPr>
          <w:rFonts w:eastAsia="Times New Roman" w:cstheme="minorHAnsi"/>
          <w:color w:val="000000" w:themeColor="text1"/>
          <w:spacing w:val="4"/>
        </w:rPr>
      </w:pPr>
      <w:r w:rsidRPr="00102563">
        <w:rPr>
          <w:rFonts w:eastAsia="Times New Roman" w:cstheme="minorHAnsi"/>
          <w:b/>
          <w:bCs/>
          <w:color w:val="000000" w:themeColor="text1"/>
          <w:spacing w:val="4"/>
        </w:rPr>
        <w:t>PSI</w:t>
      </w:r>
      <w:r w:rsidRPr="00102563">
        <w:rPr>
          <w:rFonts w:eastAsia="Times New Roman" w:cstheme="minorHAnsi"/>
          <w:color w:val="000000" w:themeColor="text1"/>
          <w:spacing w:val="4"/>
        </w:rPr>
        <w:t xml:space="preserve"> – Multiple demographic data, comorbidities, </w:t>
      </w:r>
      <w:r w:rsidR="002E609B" w:rsidRPr="00102563">
        <w:rPr>
          <w:rFonts w:eastAsia="Times New Roman" w:cstheme="minorHAnsi"/>
          <w:color w:val="000000" w:themeColor="text1"/>
          <w:spacing w:val="4"/>
        </w:rPr>
        <w:t>exam,</w:t>
      </w:r>
      <w:r w:rsidRPr="00102563">
        <w:rPr>
          <w:rFonts w:eastAsia="Times New Roman" w:cstheme="minorHAnsi"/>
          <w:color w:val="000000" w:themeColor="text1"/>
          <w:spacing w:val="4"/>
        </w:rPr>
        <w:t xml:space="preserve"> and laboratory/radiologic findings are used in scoring (</w:t>
      </w:r>
      <w:hyperlink r:id="rId5" w:history="1">
        <w:r w:rsidRPr="00102563">
          <w:rPr>
            <w:rFonts w:eastAsia="Times New Roman" w:cstheme="minorHAnsi"/>
            <w:color w:val="000000" w:themeColor="text1"/>
            <w:spacing w:val="4"/>
            <w:u w:val="single"/>
          </w:rPr>
          <w:t>PSI calculator</w:t>
        </w:r>
      </w:hyperlink>
      <w:r w:rsidRPr="00102563">
        <w:rPr>
          <w:rFonts w:eastAsia="Times New Roman" w:cstheme="minorHAnsi"/>
          <w:color w:val="000000" w:themeColor="text1"/>
          <w:spacing w:val="4"/>
        </w:rPr>
        <w:t>). Class I-II are considered mild severity; Class III-IV moderate; and Class IV-V severe pneumonia. </w:t>
      </w:r>
    </w:p>
    <w:p w14:paraId="452DD75D" w14:textId="19FCE801" w:rsidR="00102563" w:rsidRPr="00102563" w:rsidRDefault="00102563" w:rsidP="00102563">
      <w:pPr>
        <w:numPr>
          <w:ilvl w:val="1"/>
          <w:numId w:val="2"/>
        </w:numPr>
        <w:spacing w:after="0" w:line="240" w:lineRule="auto"/>
        <w:textAlignment w:val="baseline"/>
        <w:rPr>
          <w:rFonts w:eastAsia="Times New Roman" w:cstheme="minorHAnsi"/>
          <w:color w:val="000000" w:themeColor="text1"/>
          <w:spacing w:val="4"/>
        </w:rPr>
      </w:pPr>
      <w:r w:rsidRPr="00102563">
        <w:rPr>
          <w:rFonts w:eastAsia="Times New Roman" w:cstheme="minorHAnsi"/>
          <w:b/>
          <w:bCs/>
          <w:color w:val="000000" w:themeColor="text1"/>
          <w:spacing w:val="4"/>
        </w:rPr>
        <w:t>CURB-65</w:t>
      </w:r>
      <w:r w:rsidRPr="00102563">
        <w:rPr>
          <w:rFonts w:eastAsia="Times New Roman" w:cstheme="minorHAnsi"/>
          <w:color w:val="000000" w:themeColor="text1"/>
          <w:spacing w:val="4"/>
        </w:rPr>
        <w:t xml:space="preserve"> – Criteria are </w:t>
      </w:r>
      <w:r w:rsidRPr="009D51D6">
        <w:rPr>
          <w:rFonts w:eastAsia="Times New Roman" w:cstheme="minorHAnsi"/>
          <w:color w:val="000000" w:themeColor="text1"/>
          <w:spacing w:val="4"/>
        </w:rPr>
        <w:t>listed,</w:t>
      </w:r>
      <w:r w:rsidRPr="00102563">
        <w:rPr>
          <w:rFonts w:eastAsia="Times New Roman" w:cstheme="minorHAnsi"/>
          <w:color w:val="000000" w:themeColor="text1"/>
          <w:spacing w:val="4"/>
        </w:rPr>
        <w:t xml:space="preserve"> and one point is assigned for each </w:t>
      </w:r>
      <w:r w:rsidR="002E609B" w:rsidRPr="00102563">
        <w:rPr>
          <w:rFonts w:eastAsia="Times New Roman" w:cstheme="minorHAnsi"/>
          <w:color w:val="000000" w:themeColor="text1"/>
          <w:spacing w:val="4"/>
        </w:rPr>
        <w:t>criterion</w:t>
      </w:r>
      <w:r w:rsidRPr="00102563">
        <w:rPr>
          <w:rFonts w:eastAsia="Times New Roman" w:cstheme="minorHAnsi"/>
          <w:color w:val="000000" w:themeColor="text1"/>
          <w:spacing w:val="4"/>
        </w:rPr>
        <w:t xml:space="preserve"> (</w:t>
      </w:r>
      <w:hyperlink r:id="rId6" w:history="1">
        <w:r w:rsidRPr="00102563">
          <w:rPr>
            <w:rFonts w:eastAsia="Times New Roman" w:cstheme="minorHAnsi"/>
            <w:color w:val="000000" w:themeColor="text1"/>
            <w:spacing w:val="4"/>
            <w:u w:val="single"/>
          </w:rPr>
          <w:t>CURB-65 calculator</w:t>
        </w:r>
      </w:hyperlink>
      <w:r w:rsidRPr="00102563">
        <w:rPr>
          <w:rFonts w:eastAsia="Times New Roman" w:cstheme="minorHAnsi"/>
          <w:color w:val="000000" w:themeColor="text1"/>
          <w:spacing w:val="4"/>
        </w:rPr>
        <w:t>). Patients with 0-1 have mild pneumonia; 2 is moderate; and 3-5 have severe pneumonia. </w:t>
      </w:r>
    </w:p>
    <w:p w14:paraId="0AABD8CA" w14:textId="1DF339D3" w:rsidR="00102563" w:rsidRPr="00102563" w:rsidRDefault="00102563" w:rsidP="00102563">
      <w:pPr>
        <w:numPr>
          <w:ilvl w:val="1"/>
          <w:numId w:val="2"/>
        </w:numPr>
        <w:spacing w:after="0" w:line="240" w:lineRule="auto"/>
        <w:textAlignment w:val="baseline"/>
        <w:rPr>
          <w:rFonts w:eastAsia="Times New Roman" w:cstheme="minorHAnsi"/>
          <w:color w:val="000000" w:themeColor="text1"/>
          <w:spacing w:val="4"/>
        </w:rPr>
      </w:pPr>
      <w:r w:rsidRPr="00102563">
        <w:rPr>
          <w:rFonts w:eastAsia="Times New Roman" w:cstheme="minorHAnsi"/>
          <w:b/>
          <w:bCs/>
          <w:color w:val="000000" w:themeColor="text1"/>
          <w:spacing w:val="4"/>
        </w:rPr>
        <w:t>ATS Criteria</w:t>
      </w:r>
      <w:r w:rsidRPr="00102563">
        <w:rPr>
          <w:rFonts w:eastAsia="Times New Roman" w:cstheme="minorHAnsi"/>
          <w:color w:val="000000" w:themeColor="text1"/>
          <w:spacing w:val="4"/>
        </w:rPr>
        <w:t xml:space="preserve"> – Severe disease as defined by the ATS (&gt; 1 major </w:t>
      </w:r>
      <w:r w:rsidRPr="009D51D6">
        <w:rPr>
          <w:rFonts w:eastAsia="Times New Roman" w:cstheme="minorHAnsi"/>
          <w:color w:val="000000" w:themeColor="text1"/>
          <w:spacing w:val="4"/>
        </w:rPr>
        <w:t>criterion</w:t>
      </w:r>
      <w:r w:rsidRPr="00102563">
        <w:rPr>
          <w:rFonts w:eastAsia="Times New Roman" w:cstheme="minorHAnsi"/>
          <w:color w:val="000000" w:themeColor="text1"/>
          <w:spacing w:val="4"/>
        </w:rPr>
        <w:t xml:space="preserve"> or ≥ 3 minor criteria). </w:t>
      </w:r>
    </w:p>
    <w:p w14:paraId="7DA8743A" w14:textId="77777777" w:rsidR="00102563" w:rsidRPr="00102563" w:rsidRDefault="00102563" w:rsidP="00102563">
      <w:pPr>
        <w:numPr>
          <w:ilvl w:val="0"/>
          <w:numId w:val="2"/>
        </w:numPr>
        <w:spacing w:after="0" w:line="240" w:lineRule="auto"/>
        <w:textAlignment w:val="baseline"/>
        <w:rPr>
          <w:rFonts w:eastAsia="Times New Roman" w:cstheme="minorHAnsi"/>
          <w:color w:val="000000" w:themeColor="text1"/>
          <w:spacing w:val="4"/>
        </w:rPr>
      </w:pPr>
      <w:r w:rsidRPr="00102563">
        <w:rPr>
          <w:rFonts w:eastAsia="Times New Roman" w:cstheme="minorHAnsi"/>
          <w:color w:val="000000" w:themeColor="text1"/>
          <w:spacing w:val="4"/>
        </w:rPr>
        <w:t>PSI (or alternatively, the CURB-65 score) should be used in conjunction with clinical judgement to determine outpatient vs. inpatient management of CAP. The 2019 ATS/IDSA guidelines recommend using the ATS severity criteria to determine ICU vs floor level care.</w:t>
      </w:r>
    </w:p>
    <w:p w14:paraId="427FD3C6" w14:textId="63562196" w:rsidR="00102563" w:rsidRPr="00102563" w:rsidRDefault="00102563" w:rsidP="00102563">
      <w:pPr>
        <w:numPr>
          <w:ilvl w:val="1"/>
          <w:numId w:val="2"/>
        </w:numPr>
        <w:spacing w:after="0" w:line="240" w:lineRule="auto"/>
        <w:textAlignment w:val="baseline"/>
        <w:rPr>
          <w:rFonts w:eastAsia="Times New Roman" w:cstheme="minorHAnsi"/>
          <w:color w:val="000000" w:themeColor="text1"/>
          <w:spacing w:val="4"/>
        </w:rPr>
      </w:pPr>
      <w:r w:rsidRPr="00102563">
        <w:rPr>
          <w:rFonts w:eastAsia="Times New Roman" w:cstheme="minorHAnsi"/>
          <w:color w:val="000000" w:themeColor="text1"/>
          <w:spacing w:val="4"/>
        </w:rPr>
        <w:lastRenderedPageBreak/>
        <w:t>Patients with mild pneumonia (PSI class I-II, CURB-65 score 0-1) may be treated as an outpatient. Rarely some patients with a CURB-65 score of 1 or PSI class III may be managed with inpatient observation. Patients with PSI class IV-V or CURB-65 score of 2-</w:t>
      </w:r>
      <w:r w:rsidRPr="009D51D6">
        <w:rPr>
          <w:rFonts w:eastAsia="Times New Roman" w:cstheme="minorHAnsi"/>
          <w:color w:val="000000" w:themeColor="text1"/>
          <w:spacing w:val="4"/>
        </w:rPr>
        <w:t>5 should</w:t>
      </w:r>
      <w:r w:rsidRPr="00102563">
        <w:rPr>
          <w:rFonts w:eastAsia="Times New Roman" w:cstheme="minorHAnsi"/>
          <w:color w:val="000000" w:themeColor="text1"/>
          <w:spacing w:val="4"/>
        </w:rPr>
        <w:t xml:space="preserve"> be managed as an inpatient. </w:t>
      </w:r>
    </w:p>
    <w:p w14:paraId="3CEC32C3" w14:textId="77777777" w:rsidR="00102563" w:rsidRPr="00102563" w:rsidRDefault="00102563" w:rsidP="00102563">
      <w:pPr>
        <w:numPr>
          <w:ilvl w:val="1"/>
          <w:numId w:val="2"/>
        </w:numPr>
        <w:spacing w:after="0" w:line="240" w:lineRule="auto"/>
        <w:textAlignment w:val="baseline"/>
        <w:rPr>
          <w:rFonts w:eastAsia="Times New Roman" w:cstheme="minorHAnsi"/>
          <w:color w:val="000000" w:themeColor="text1"/>
          <w:spacing w:val="4"/>
        </w:rPr>
      </w:pPr>
      <w:r w:rsidRPr="00102563">
        <w:rPr>
          <w:rFonts w:eastAsia="Times New Roman" w:cstheme="minorHAnsi"/>
          <w:color w:val="000000" w:themeColor="text1"/>
          <w:spacing w:val="4"/>
        </w:rPr>
        <w:t>Patients with 1 major ATS severity criteria (septic shock, mechanical ventilation) should be managed in the ICU. Most patients with 3 or more minor criteria should be managed in the ICU, though this should be paired with clinical judgement. </w:t>
      </w:r>
    </w:p>
    <w:p w14:paraId="4C6448E4" w14:textId="77777777" w:rsidR="00102563" w:rsidRPr="00102563" w:rsidRDefault="00102563" w:rsidP="00102563">
      <w:pPr>
        <w:shd w:val="clear" w:color="auto" w:fill="FEFEFE"/>
        <w:spacing w:after="100" w:afterAutospacing="1" w:line="240" w:lineRule="auto"/>
        <w:rPr>
          <w:rFonts w:eastAsia="Times New Roman" w:cstheme="minorHAnsi"/>
          <w:color w:val="000000" w:themeColor="text1"/>
          <w:spacing w:val="4"/>
        </w:rPr>
      </w:pPr>
      <w:r w:rsidRPr="00102563">
        <w:rPr>
          <w:rFonts w:eastAsia="Times New Roman" w:cstheme="minorHAnsi"/>
          <w:b/>
          <w:bCs/>
          <w:color w:val="000000" w:themeColor="text1"/>
          <w:spacing w:val="4"/>
        </w:rPr>
        <w:br/>
      </w:r>
      <w:r w:rsidRPr="00102563">
        <w:rPr>
          <w:rFonts w:eastAsia="Times New Roman" w:cstheme="minorHAnsi"/>
          <w:b/>
          <w:bCs/>
          <w:color w:val="000000" w:themeColor="text1"/>
          <w:spacing w:val="4"/>
          <w:u w:val="single"/>
        </w:rPr>
        <w:t>Objective 3</w:t>
      </w:r>
      <w:r w:rsidRPr="00102563">
        <w:rPr>
          <w:rFonts w:eastAsia="Times New Roman" w:cstheme="minorHAnsi"/>
          <w:b/>
          <w:bCs/>
          <w:color w:val="000000" w:themeColor="text1"/>
          <w:spacing w:val="4"/>
        </w:rPr>
        <w:t>: Inpatient management</w:t>
      </w:r>
    </w:p>
    <w:p w14:paraId="3E4D3BCE" w14:textId="77777777" w:rsidR="00102563" w:rsidRPr="00102563" w:rsidRDefault="00102563" w:rsidP="00102563">
      <w:pPr>
        <w:numPr>
          <w:ilvl w:val="0"/>
          <w:numId w:val="3"/>
        </w:numPr>
        <w:spacing w:after="0" w:line="240" w:lineRule="auto"/>
        <w:textAlignment w:val="baseline"/>
        <w:rPr>
          <w:rFonts w:eastAsia="Times New Roman" w:cstheme="minorHAnsi"/>
          <w:color w:val="000000" w:themeColor="text1"/>
          <w:spacing w:val="4"/>
        </w:rPr>
      </w:pPr>
      <w:r w:rsidRPr="00102563">
        <w:rPr>
          <w:rFonts w:eastAsia="Times New Roman" w:cstheme="minorHAnsi"/>
          <w:i/>
          <w:iCs/>
          <w:color w:val="000000" w:themeColor="text1"/>
          <w:spacing w:val="4"/>
        </w:rPr>
        <w:t>Slide Management – Inpatient: </w:t>
      </w:r>
      <w:r w:rsidRPr="00102563">
        <w:rPr>
          <w:rFonts w:eastAsia="Times New Roman" w:cstheme="minorHAnsi"/>
          <w:color w:val="000000" w:themeColor="text1"/>
          <w:spacing w:val="4"/>
        </w:rPr>
        <w:t>The first steps in evaluating a patient in the hospital is determining 1) severity of disease and subsequently 2) presence of MDR risk factors. </w:t>
      </w:r>
    </w:p>
    <w:p w14:paraId="33FC13AC" w14:textId="77777777" w:rsidR="00102563" w:rsidRPr="00102563" w:rsidRDefault="00102563" w:rsidP="00102563">
      <w:pPr>
        <w:numPr>
          <w:ilvl w:val="0"/>
          <w:numId w:val="3"/>
        </w:numPr>
        <w:spacing w:after="0" w:line="240" w:lineRule="auto"/>
        <w:textAlignment w:val="baseline"/>
        <w:rPr>
          <w:rFonts w:eastAsia="Times New Roman" w:cstheme="minorHAnsi"/>
          <w:color w:val="000000" w:themeColor="text1"/>
          <w:spacing w:val="4"/>
        </w:rPr>
      </w:pPr>
      <w:r w:rsidRPr="00102563">
        <w:rPr>
          <w:rFonts w:eastAsia="Times New Roman" w:cstheme="minorHAnsi"/>
          <w:color w:val="000000" w:themeColor="text1"/>
          <w:spacing w:val="4"/>
        </w:rPr>
        <w:t>All patients with severe disease should have cultures drawn (click on “Obtain cultures”)- blood, sputum, and Legionella and </w:t>
      </w:r>
      <w:r w:rsidRPr="00102563">
        <w:rPr>
          <w:rFonts w:eastAsia="Times New Roman" w:cstheme="minorHAnsi"/>
          <w:i/>
          <w:iCs/>
          <w:color w:val="000000" w:themeColor="text1"/>
          <w:spacing w:val="4"/>
        </w:rPr>
        <w:t xml:space="preserve">S. </w:t>
      </w:r>
      <w:proofErr w:type="spellStart"/>
      <w:r w:rsidRPr="00102563">
        <w:rPr>
          <w:rFonts w:eastAsia="Times New Roman" w:cstheme="minorHAnsi"/>
          <w:i/>
          <w:iCs/>
          <w:color w:val="000000" w:themeColor="text1"/>
          <w:spacing w:val="4"/>
        </w:rPr>
        <w:t>pneumo</w:t>
      </w:r>
      <w:proofErr w:type="spellEnd"/>
      <w:r w:rsidRPr="00102563">
        <w:rPr>
          <w:rFonts w:eastAsia="Times New Roman" w:cstheme="minorHAnsi"/>
          <w:color w:val="000000" w:themeColor="text1"/>
          <w:spacing w:val="4"/>
        </w:rPr>
        <w:t> urinary Ag testing. These patients should empirically receive coverage for MRSA and </w:t>
      </w:r>
      <w:r w:rsidRPr="00102563">
        <w:rPr>
          <w:rFonts w:eastAsia="Times New Roman" w:cstheme="minorHAnsi"/>
          <w:i/>
          <w:iCs/>
          <w:color w:val="000000" w:themeColor="text1"/>
          <w:spacing w:val="4"/>
        </w:rPr>
        <w:t>Pseudomonas. </w:t>
      </w:r>
    </w:p>
    <w:p w14:paraId="688B6C0C" w14:textId="77777777" w:rsidR="00102563" w:rsidRPr="00102563" w:rsidRDefault="00102563" w:rsidP="00102563">
      <w:pPr>
        <w:numPr>
          <w:ilvl w:val="0"/>
          <w:numId w:val="3"/>
        </w:numPr>
        <w:spacing w:after="0" w:line="240" w:lineRule="auto"/>
        <w:textAlignment w:val="baseline"/>
        <w:rPr>
          <w:rFonts w:eastAsia="Times New Roman" w:cstheme="minorHAnsi"/>
          <w:color w:val="000000" w:themeColor="text1"/>
          <w:spacing w:val="4"/>
        </w:rPr>
      </w:pPr>
      <w:r w:rsidRPr="00102563">
        <w:rPr>
          <w:rFonts w:eastAsia="Times New Roman" w:cstheme="minorHAnsi"/>
          <w:color w:val="000000" w:themeColor="text1"/>
          <w:spacing w:val="4"/>
        </w:rPr>
        <w:t>Patients with non-severe pneumonia should be assessed for MRSA and </w:t>
      </w:r>
      <w:r w:rsidRPr="00102563">
        <w:rPr>
          <w:rFonts w:eastAsia="Times New Roman" w:cstheme="minorHAnsi"/>
          <w:i/>
          <w:iCs/>
          <w:color w:val="000000" w:themeColor="text1"/>
          <w:spacing w:val="4"/>
        </w:rPr>
        <w:t>Pseudomonas</w:t>
      </w:r>
      <w:r w:rsidRPr="00102563">
        <w:rPr>
          <w:rFonts w:eastAsia="Times New Roman" w:cstheme="minorHAnsi"/>
          <w:color w:val="000000" w:themeColor="text1"/>
          <w:spacing w:val="4"/>
        </w:rPr>
        <w:t> RFs. Click on “MDR RFs”.</w:t>
      </w:r>
    </w:p>
    <w:p w14:paraId="47BCFBE6" w14:textId="77777777" w:rsidR="00102563" w:rsidRPr="00102563" w:rsidRDefault="00102563" w:rsidP="00102563">
      <w:pPr>
        <w:numPr>
          <w:ilvl w:val="1"/>
          <w:numId w:val="3"/>
        </w:numPr>
        <w:spacing w:after="0" w:line="240" w:lineRule="auto"/>
        <w:textAlignment w:val="baseline"/>
        <w:rPr>
          <w:rFonts w:eastAsia="Times New Roman" w:cstheme="minorHAnsi"/>
          <w:color w:val="000000" w:themeColor="text1"/>
          <w:spacing w:val="4"/>
        </w:rPr>
      </w:pPr>
      <w:r w:rsidRPr="00102563">
        <w:rPr>
          <w:rFonts w:eastAsia="Times New Roman" w:cstheme="minorHAnsi"/>
          <w:color w:val="000000" w:themeColor="text1"/>
          <w:spacing w:val="4"/>
        </w:rPr>
        <w:t>Patients with prior colonization/ infection with either MRSA or </w:t>
      </w:r>
      <w:r w:rsidRPr="00102563">
        <w:rPr>
          <w:rFonts w:eastAsia="Times New Roman" w:cstheme="minorHAnsi"/>
          <w:i/>
          <w:iCs/>
          <w:color w:val="000000" w:themeColor="text1"/>
          <w:spacing w:val="4"/>
        </w:rPr>
        <w:t>Pseudomonas</w:t>
      </w:r>
      <w:r w:rsidRPr="00102563">
        <w:rPr>
          <w:rFonts w:eastAsia="Times New Roman" w:cstheme="minorHAnsi"/>
          <w:color w:val="000000" w:themeColor="text1"/>
          <w:spacing w:val="4"/>
        </w:rPr>
        <w:t> should have cultures drawn and be empirically covered for MRSA or </w:t>
      </w:r>
      <w:r w:rsidRPr="00102563">
        <w:rPr>
          <w:rFonts w:eastAsia="Times New Roman" w:cstheme="minorHAnsi"/>
          <w:i/>
          <w:iCs/>
          <w:color w:val="000000" w:themeColor="text1"/>
          <w:spacing w:val="4"/>
        </w:rPr>
        <w:t>Pseudomonas </w:t>
      </w:r>
      <w:r w:rsidRPr="00102563">
        <w:rPr>
          <w:rFonts w:eastAsia="Times New Roman" w:cstheme="minorHAnsi"/>
          <w:color w:val="000000" w:themeColor="text1"/>
          <w:spacing w:val="4"/>
        </w:rPr>
        <w:t>as per prior culture data. </w:t>
      </w:r>
    </w:p>
    <w:p w14:paraId="381883D7" w14:textId="77777777" w:rsidR="00102563" w:rsidRPr="00102563" w:rsidRDefault="00102563" w:rsidP="00102563">
      <w:pPr>
        <w:numPr>
          <w:ilvl w:val="1"/>
          <w:numId w:val="3"/>
        </w:numPr>
        <w:spacing w:after="0" w:line="240" w:lineRule="auto"/>
        <w:textAlignment w:val="baseline"/>
        <w:rPr>
          <w:rFonts w:eastAsia="Times New Roman" w:cstheme="minorHAnsi"/>
          <w:color w:val="000000" w:themeColor="text1"/>
          <w:spacing w:val="4"/>
        </w:rPr>
      </w:pPr>
      <w:r w:rsidRPr="00102563">
        <w:rPr>
          <w:rFonts w:eastAsia="Times New Roman" w:cstheme="minorHAnsi"/>
          <w:color w:val="000000" w:themeColor="text1"/>
          <w:spacing w:val="4"/>
        </w:rPr>
        <w:t>Patients with recent hospitalization and IV antibiotic treatment can receive standard CAP treatment but should have cultures drawn as well. </w:t>
      </w:r>
    </w:p>
    <w:p w14:paraId="1F86AE6B" w14:textId="77777777" w:rsidR="00102563" w:rsidRPr="00102563" w:rsidRDefault="00102563" w:rsidP="00102563">
      <w:pPr>
        <w:numPr>
          <w:ilvl w:val="1"/>
          <w:numId w:val="3"/>
        </w:numPr>
        <w:spacing w:after="0" w:line="240" w:lineRule="auto"/>
        <w:textAlignment w:val="baseline"/>
        <w:rPr>
          <w:rFonts w:eastAsia="Times New Roman" w:cstheme="minorHAnsi"/>
          <w:color w:val="000000" w:themeColor="text1"/>
          <w:spacing w:val="4"/>
        </w:rPr>
      </w:pPr>
      <w:r w:rsidRPr="00102563">
        <w:rPr>
          <w:rFonts w:eastAsia="Times New Roman" w:cstheme="minorHAnsi"/>
          <w:color w:val="000000" w:themeColor="text1"/>
          <w:spacing w:val="4"/>
        </w:rPr>
        <w:t>Adjustments to antibiotic regimens should be made based on culture data Patients empirically treated with broader antibiotics should be narrowed to standard CAP coverage if cultures are negative. </w:t>
      </w:r>
    </w:p>
    <w:p w14:paraId="0CDDF426" w14:textId="70489EE5" w:rsidR="00102563" w:rsidRPr="00102563" w:rsidRDefault="00102563" w:rsidP="00102563">
      <w:pPr>
        <w:numPr>
          <w:ilvl w:val="1"/>
          <w:numId w:val="3"/>
        </w:numPr>
        <w:spacing w:after="0" w:line="240" w:lineRule="auto"/>
        <w:textAlignment w:val="baseline"/>
        <w:rPr>
          <w:rFonts w:eastAsia="Times New Roman" w:cstheme="minorHAnsi"/>
          <w:color w:val="000000" w:themeColor="text1"/>
          <w:spacing w:val="4"/>
        </w:rPr>
      </w:pPr>
      <w:r w:rsidRPr="00102563">
        <w:rPr>
          <w:rFonts w:eastAsia="Times New Roman" w:cstheme="minorHAnsi"/>
          <w:color w:val="000000" w:themeColor="text1"/>
          <w:spacing w:val="4"/>
        </w:rPr>
        <w:t xml:space="preserve">Patients with no risk factors should not be cultured and should </w:t>
      </w:r>
      <w:r w:rsidRPr="009D51D6">
        <w:rPr>
          <w:rFonts w:eastAsia="Times New Roman" w:cstheme="minorHAnsi"/>
          <w:color w:val="000000" w:themeColor="text1"/>
          <w:spacing w:val="4"/>
        </w:rPr>
        <w:t>receive</w:t>
      </w:r>
      <w:r w:rsidRPr="00102563">
        <w:rPr>
          <w:rFonts w:eastAsia="Times New Roman" w:cstheme="minorHAnsi"/>
          <w:color w:val="000000" w:themeColor="text1"/>
          <w:spacing w:val="4"/>
        </w:rPr>
        <w:t xml:space="preserve"> standard CAP treatment. </w:t>
      </w:r>
    </w:p>
    <w:p w14:paraId="39EC0EE7" w14:textId="6FFD6DD0" w:rsidR="00102563" w:rsidRPr="00102563" w:rsidRDefault="00102563" w:rsidP="00102563">
      <w:pPr>
        <w:numPr>
          <w:ilvl w:val="0"/>
          <w:numId w:val="3"/>
        </w:numPr>
        <w:spacing w:after="0" w:line="240" w:lineRule="auto"/>
        <w:textAlignment w:val="baseline"/>
        <w:rPr>
          <w:rFonts w:eastAsia="Times New Roman" w:cstheme="minorHAnsi"/>
          <w:color w:val="000000" w:themeColor="text1"/>
          <w:spacing w:val="4"/>
        </w:rPr>
      </w:pPr>
      <w:r w:rsidRPr="00102563">
        <w:rPr>
          <w:rFonts w:eastAsia="Times New Roman" w:cstheme="minorHAnsi"/>
          <w:color w:val="000000" w:themeColor="text1"/>
          <w:spacing w:val="4"/>
        </w:rPr>
        <w:t xml:space="preserve">Empiric coverage of MRSA should be with IV vancomycin (linezolid </w:t>
      </w:r>
      <w:r w:rsidRPr="009D51D6">
        <w:rPr>
          <w:rFonts w:eastAsia="Times New Roman" w:cstheme="minorHAnsi"/>
          <w:color w:val="000000" w:themeColor="text1"/>
          <w:spacing w:val="4"/>
        </w:rPr>
        <w:t>is</w:t>
      </w:r>
      <w:r w:rsidRPr="00102563">
        <w:rPr>
          <w:rFonts w:eastAsia="Times New Roman" w:cstheme="minorHAnsi"/>
          <w:color w:val="000000" w:themeColor="text1"/>
          <w:spacing w:val="4"/>
        </w:rPr>
        <w:t xml:space="preserve"> also </w:t>
      </w:r>
      <w:r w:rsidRPr="009D51D6">
        <w:rPr>
          <w:rFonts w:eastAsia="Times New Roman" w:cstheme="minorHAnsi"/>
          <w:color w:val="000000" w:themeColor="text1"/>
          <w:spacing w:val="4"/>
        </w:rPr>
        <w:t xml:space="preserve">an </w:t>
      </w:r>
      <w:r w:rsidRPr="00102563">
        <w:rPr>
          <w:rFonts w:eastAsia="Times New Roman" w:cstheme="minorHAnsi"/>
          <w:color w:val="000000" w:themeColor="text1"/>
          <w:spacing w:val="4"/>
        </w:rPr>
        <w:t>option). Empiric coverage of </w:t>
      </w:r>
      <w:r w:rsidRPr="00102563">
        <w:rPr>
          <w:rFonts w:eastAsia="Times New Roman" w:cstheme="minorHAnsi"/>
          <w:i/>
          <w:iCs/>
          <w:color w:val="000000" w:themeColor="text1"/>
          <w:spacing w:val="4"/>
        </w:rPr>
        <w:t>Pseudomonas </w:t>
      </w:r>
      <w:r w:rsidRPr="00102563">
        <w:rPr>
          <w:rFonts w:eastAsia="Times New Roman" w:cstheme="minorHAnsi"/>
          <w:color w:val="000000" w:themeColor="text1"/>
          <w:spacing w:val="4"/>
        </w:rPr>
        <w:t>can be with piperacillin-tazobactam, cefepime, ceftazidime, aztreonam, or meropenem. Patients should continue to receive atypical coverage on these regimens. </w:t>
      </w:r>
    </w:p>
    <w:p w14:paraId="30047721" w14:textId="77777777" w:rsidR="00102563" w:rsidRPr="00102563" w:rsidRDefault="00102563" w:rsidP="00102563">
      <w:pPr>
        <w:numPr>
          <w:ilvl w:val="0"/>
          <w:numId w:val="3"/>
        </w:numPr>
        <w:spacing w:after="0" w:line="240" w:lineRule="auto"/>
        <w:textAlignment w:val="baseline"/>
        <w:rPr>
          <w:rFonts w:eastAsia="Times New Roman" w:cstheme="minorHAnsi"/>
          <w:color w:val="000000" w:themeColor="text1"/>
          <w:spacing w:val="4"/>
        </w:rPr>
      </w:pPr>
      <w:r w:rsidRPr="00102563">
        <w:rPr>
          <w:rFonts w:eastAsia="Times New Roman" w:cstheme="minorHAnsi"/>
          <w:color w:val="000000" w:themeColor="text1"/>
          <w:spacing w:val="4"/>
        </w:rPr>
        <w:t>Standard CAP coverage is with IV beta-lactam such as ampicillin-sulbactam or ceftriaxone AND azithromycin or doxycycline for atypical coverage. Azithromycin is preferred but doxycycline can be considered if cardiac considerations or QTc prolongation prohibit use of a macrolide. A respiratory fluoroquinolone (levofloxacin / moxifloxacin) can also be considered. </w:t>
      </w:r>
    </w:p>
    <w:p w14:paraId="365B0435" w14:textId="370D380B" w:rsidR="00102563" w:rsidRPr="00102563" w:rsidRDefault="00102563" w:rsidP="00102563">
      <w:pPr>
        <w:numPr>
          <w:ilvl w:val="0"/>
          <w:numId w:val="3"/>
        </w:numPr>
        <w:spacing w:after="0" w:line="240" w:lineRule="auto"/>
        <w:textAlignment w:val="baseline"/>
        <w:rPr>
          <w:rFonts w:eastAsia="Times New Roman" w:cstheme="minorHAnsi"/>
          <w:color w:val="000000" w:themeColor="text1"/>
          <w:spacing w:val="4"/>
        </w:rPr>
      </w:pPr>
      <w:r w:rsidRPr="00102563">
        <w:rPr>
          <w:rFonts w:eastAsia="Times New Roman" w:cstheme="minorHAnsi"/>
          <w:i/>
          <w:iCs/>
          <w:color w:val="000000" w:themeColor="text1"/>
          <w:spacing w:val="4"/>
        </w:rPr>
        <w:t>Bonus:</w:t>
      </w:r>
      <w:r w:rsidRPr="00102563">
        <w:rPr>
          <w:rFonts w:eastAsia="Times New Roman" w:cstheme="minorHAnsi"/>
          <w:color w:val="000000" w:themeColor="text1"/>
          <w:spacing w:val="4"/>
        </w:rPr>
        <w:t xml:space="preserve"> Of note, procalcitonin use is not recommended to determine empiric antibiotic coverage for CAP. While some studies have suggested that </w:t>
      </w:r>
      <w:r w:rsidRPr="009D51D6">
        <w:rPr>
          <w:rFonts w:eastAsia="Times New Roman" w:cstheme="minorHAnsi"/>
          <w:color w:val="000000" w:themeColor="text1"/>
          <w:spacing w:val="4"/>
        </w:rPr>
        <w:t>procalcitonin 0.1</w:t>
      </w:r>
      <w:r w:rsidRPr="00102563">
        <w:rPr>
          <w:rFonts w:eastAsia="Times New Roman" w:cstheme="minorHAnsi"/>
          <w:color w:val="000000" w:themeColor="text1"/>
          <w:spacing w:val="4"/>
        </w:rPr>
        <w:t xml:space="preserve"> ug/L does not suggest a bacterial infection, a recent meta-analysis only showed a sensitivity of ~30-90% for detecting bacterial infection. </w:t>
      </w:r>
    </w:p>
    <w:p w14:paraId="5CBD2936" w14:textId="1EA92DA1" w:rsidR="00102563" w:rsidRPr="00102563" w:rsidRDefault="00102563" w:rsidP="00102563">
      <w:pPr>
        <w:numPr>
          <w:ilvl w:val="0"/>
          <w:numId w:val="3"/>
        </w:numPr>
        <w:spacing w:after="0" w:line="240" w:lineRule="auto"/>
        <w:textAlignment w:val="baseline"/>
        <w:rPr>
          <w:rFonts w:eastAsia="Times New Roman" w:cstheme="minorHAnsi"/>
          <w:color w:val="000000" w:themeColor="text1"/>
          <w:spacing w:val="4"/>
        </w:rPr>
      </w:pPr>
      <w:r w:rsidRPr="00102563">
        <w:rPr>
          <w:rFonts w:eastAsia="Times New Roman" w:cstheme="minorHAnsi"/>
          <w:i/>
          <w:iCs/>
          <w:color w:val="000000" w:themeColor="text1"/>
          <w:spacing w:val="4"/>
        </w:rPr>
        <w:t>Bonus: </w:t>
      </w:r>
      <w:r w:rsidRPr="00102563">
        <w:rPr>
          <w:rFonts w:eastAsia="Times New Roman" w:cstheme="minorHAnsi"/>
          <w:color w:val="000000" w:themeColor="text1"/>
          <w:spacing w:val="4"/>
        </w:rPr>
        <w:t xml:space="preserve"> Prior studies have shown mixed data on the use of </w:t>
      </w:r>
      <w:r w:rsidRPr="009D51D6">
        <w:rPr>
          <w:rFonts w:eastAsia="Times New Roman" w:cstheme="minorHAnsi"/>
          <w:color w:val="000000" w:themeColor="text1"/>
          <w:spacing w:val="4"/>
        </w:rPr>
        <w:t>adjunctive</w:t>
      </w:r>
      <w:r w:rsidRPr="00102563">
        <w:rPr>
          <w:rFonts w:eastAsia="Times New Roman" w:cstheme="minorHAnsi"/>
          <w:color w:val="000000" w:themeColor="text1"/>
          <w:spacing w:val="4"/>
        </w:rPr>
        <w:t xml:space="preserve"> steroids for CAP. Currently, the recommendation is against steroid use. </w:t>
      </w:r>
    </w:p>
    <w:p w14:paraId="5FE2F327" w14:textId="77777777" w:rsidR="00102563" w:rsidRPr="00102563" w:rsidRDefault="00102563" w:rsidP="00102563">
      <w:pPr>
        <w:shd w:val="clear" w:color="auto" w:fill="FEFEFE"/>
        <w:spacing w:after="100" w:afterAutospacing="1" w:line="240" w:lineRule="auto"/>
        <w:rPr>
          <w:rFonts w:eastAsia="Times New Roman" w:cstheme="minorHAnsi"/>
          <w:color w:val="000000" w:themeColor="text1"/>
          <w:spacing w:val="4"/>
        </w:rPr>
      </w:pPr>
      <w:r w:rsidRPr="00102563">
        <w:rPr>
          <w:rFonts w:eastAsia="Times New Roman" w:cstheme="minorHAnsi"/>
          <w:b/>
          <w:bCs/>
          <w:color w:val="000000" w:themeColor="text1"/>
          <w:spacing w:val="4"/>
          <w:u w:val="single"/>
        </w:rPr>
        <w:br/>
        <w:t>Objective 4</w:t>
      </w:r>
      <w:r w:rsidRPr="00102563">
        <w:rPr>
          <w:rFonts w:eastAsia="Times New Roman" w:cstheme="minorHAnsi"/>
          <w:b/>
          <w:bCs/>
          <w:color w:val="000000" w:themeColor="text1"/>
          <w:spacing w:val="4"/>
        </w:rPr>
        <w:t>: Manage CAP in the ambulatory setting. </w:t>
      </w:r>
    </w:p>
    <w:p w14:paraId="209706A5" w14:textId="77777777" w:rsidR="00102563" w:rsidRPr="00102563" w:rsidRDefault="00102563" w:rsidP="00102563">
      <w:pPr>
        <w:numPr>
          <w:ilvl w:val="0"/>
          <w:numId w:val="4"/>
        </w:numPr>
        <w:spacing w:after="0" w:line="240" w:lineRule="auto"/>
        <w:textAlignment w:val="baseline"/>
        <w:rPr>
          <w:rFonts w:eastAsia="Times New Roman" w:cstheme="minorHAnsi"/>
          <w:color w:val="000000" w:themeColor="text1"/>
          <w:spacing w:val="4"/>
        </w:rPr>
      </w:pPr>
      <w:r w:rsidRPr="00102563">
        <w:rPr>
          <w:rFonts w:eastAsia="Times New Roman" w:cstheme="minorHAnsi"/>
          <w:i/>
          <w:iCs/>
          <w:color w:val="000000" w:themeColor="text1"/>
          <w:spacing w:val="4"/>
        </w:rPr>
        <w:t>Slide Management – Outpatient</w:t>
      </w:r>
      <w:r w:rsidRPr="00102563">
        <w:rPr>
          <w:rFonts w:eastAsia="Times New Roman" w:cstheme="minorHAnsi"/>
          <w:color w:val="000000" w:themeColor="text1"/>
          <w:spacing w:val="4"/>
        </w:rPr>
        <w:t>: Outpatients with CAP are similar stratified by presence of 1) comorbid conditions and 2) risk factors for MRSA and </w:t>
      </w:r>
      <w:r w:rsidRPr="00102563">
        <w:rPr>
          <w:rFonts w:eastAsia="Times New Roman" w:cstheme="minorHAnsi"/>
          <w:i/>
          <w:iCs/>
          <w:color w:val="000000" w:themeColor="text1"/>
          <w:spacing w:val="4"/>
        </w:rPr>
        <w:t>Pseudomonas.</w:t>
      </w:r>
    </w:p>
    <w:p w14:paraId="5CE6BBDC" w14:textId="77777777" w:rsidR="00102563" w:rsidRPr="00102563" w:rsidRDefault="00102563" w:rsidP="00102563">
      <w:pPr>
        <w:numPr>
          <w:ilvl w:val="1"/>
          <w:numId w:val="4"/>
        </w:numPr>
        <w:spacing w:after="0" w:line="240" w:lineRule="auto"/>
        <w:textAlignment w:val="baseline"/>
        <w:rPr>
          <w:rFonts w:eastAsia="Times New Roman" w:cstheme="minorHAnsi"/>
          <w:color w:val="000000" w:themeColor="text1"/>
          <w:spacing w:val="4"/>
        </w:rPr>
      </w:pPr>
      <w:r w:rsidRPr="00102563">
        <w:rPr>
          <w:rFonts w:eastAsia="Times New Roman" w:cstheme="minorHAnsi"/>
          <w:color w:val="000000" w:themeColor="text1"/>
          <w:spacing w:val="4"/>
        </w:rPr>
        <w:lastRenderedPageBreak/>
        <w:t xml:space="preserve">For outpatient adults with no major comorbidities and no MDR risk factors, treatment can be with amoxicillin 1 g TID or doxycycline. Even though amoxicillin monotherapy does not have atypical coverage, several studies have shown efficacy for this regimen. Despite this, some experts recommend addition of azithromycin to amoxicillin for coverage for </w:t>
      </w:r>
      <w:proofErr w:type="spellStart"/>
      <w:r w:rsidRPr="00102563">
        <w:rPr>
          <w:rFonts w:eastAsia="Times New Roman" w:cstheme="minorHAnsi"/>
          <w:color w:val="000000" w:themeColor="text1"/>
          <w:spacing w:val="4"/>
        </w:rPr>
        <w:t>atypicals</w:t>
      </w:r>
      <w:proofErr w:type="spellEnd"/>
      <w:r w:rsidRPr="00102563">
        <w:rPr>
          <w:rFonts w:eastAsia="Times New Roman" w:cstheme="minorHAnsi"/>
          <w:color w:val="000000" w:themeColor="text1"/>
          <w:spacing w:val="4"/>
        </w:rPr>
        <w:t xml:space="preserve"> in this patient </w:t>
      </w:r>
      <w:proofErr w:type="gramStart"/>
      <w:r w:rsidRPr="00102563">
        <w:rPr>
          <w:rFonts w:eastAsia="Times New Roman" w:cstheme="minorHAnsi"/>
          <w:color w:val="000000" w:themeColor="text1"/>
          <w:spacing w:val="4"/>
        </w:rPr>
        <w:t>population.²</w:t>
      </w:r>
      <w:proofErr w:type="gramEnd"/>
      <w:r w:rsidRPr="00102563">
        <w:rPr>
          <w:rFonts w:eastAsia="Times New Roman" w:cstheme="minorHAnsi"/>
          <w:color w:val="000000" w:themeColor="text1"/>
          <w:spacing w:val="4"/>
        </w:rPr>
        <w:t xml:space="preserve"> Macrolide (azithromycin) monotherapy is not recommended given high rates of </w:t>
      </w:r>
      <w:r w:rsidRPr="00102563">
        <w:rPr>
          <w:rFonts w:eastAsia="Times New Roman" w:cstheme="minorHAnsi"/>
          <w:i/>
          <w:iCs/>
          <w:color w:val="000000" w:themeColor="text1"/>
          <w:spacing w:val="4"/>
        </w:rPr>
        <w:t xml:space="preserve">S. </w:t>
      </w:r>
      <w:proofErr w:type="spellStart"/>
      <w:r w:rsidRPr="00102563">
        <w:rPr>
          <w:rFonts w:eastAsia="Times New Roman" w:cstheme="minorHAnsi"/>
          <w:i/>
          <w:iCs/>
          <w:color w:val="000000" w:themeColor="text1"/>
          <w:spacing w:val="4"/>
        </w:rPr>
        <w:t>pneumo</w:t>
      </w:r>
      <w:proofErr w:type="spellEnd"/>
      <w:r w:rsidRPr="00102563">
        <w:rPr>
          <w:rFonts w:eastAsia="Times New Roman" w:cstheme="minorHAnsi"/>
          <w:i/>
          <w:iCs/>
          <w:color w:val="000000" w:themeColor="text1"/>
          <w:spacing w:val="4"/>
        </w:rPr>
        <w:t> </w:t>
      </w:r>
      <w:r w:rsidRPr="00102563">
        <w:rPr>
          <w:rFonts w:eastAsia="Times New Roman" w:cstheme="minorHAnsi"/>
          <w:color w:val="000000" w:themeColor="text1"/>
          <w:spacing w:val="4"/>
        </w:rPr>
        <w:t>resistance in the US. </w:t>
      </w:r>
    </w:p>
    <w:p w14:paraId="1AC1D18C" w14:textId="77777777" w:rsidR="00102563" w:rsidRPr="00102563" w:rsidRDefault="00102563" w:rsidP="00102563">
      <w:pPr>
        <w:numPr>
          <w:ilvl w:val="1"/>
          <w:numId w:val="4"/>
        </w:numPr>
        <w:spacing w:after="0" w:line="240" w:lineRule="auto"/>
        <w:textAlignment w:val="baseline"/>
        <w:rPr>
          <w:rFonts w:eastAsia="Times New Roman" w:cstheme="minorHAnsi"/>
          <w:color w:val="000000" w:themeColor="text1"/>
          <w:spacing w:val="4"/>
        </w:rPr>
      </w:pPr>
      <w:r w:rsidRPr="00102563">
        <w:rPr>
          <w:rFonts w:eastAsia="Times New Roman" w:cstheme="minorHAnsi"/>
          <w:color w:val="000000" w:themeColor="text1"/>
          <w:spacing w:val="4"/>
        </w:rPr>
        <w:t>For outpatient adults with comorbidities, treatment should be with should be more broadly covered with amoxicillin-clavulanate or a cephalosporin AND azithromycin or doxycycline.  Monotherapy with a respiratory fluoroquinolone can also be used. These patients are more likely to have infections from </w:t>
      </w:r>
      <w:r w:rsidRPr="00102563">
        <w:rPr>
          <w:rFonts w:eastAsia="Times New Roman" w:cstheme="minorHAnsi"/>
          <w:i/>
          <w:iCs/>
          <w:color w:val="000000" w:themeColor="text1"/>
          <w:spacing w:val="4"/>
        </w:rPr>
        <w:t>S. aureus</w:t>
      </w:r>
      <w:r w:rsidRPr="00102563">
        <w:rPr>
          <w:rFonts w:eastAsia="Times New Roman" w:cstheme="minorHAnsi"/>
          <w:color w:val="000000" w:themeColor="text1"/>
          <w:spacing w:val="4"/>
        </w:rPr>
        <w:t> and GNRs. </w:t>
      </w:r>
    </w:p>
    <w:p w14:paraId="1890AD8C" w14:textId="108A011E" w:rsidR="00102563" w:rsidRPr="00102563" w:rsidRDefault="00102563" w:rsidP="00102563">
      <w:pPr>
        <w:numPr>
          <w:ilvl w:val="1"/>
          <w:numId w:val="4"/>
        </w:numPr>
        <w:spacing w:after="0" w:line="240" w:lineRule="auto"/>
        <w:textAlignment w:val="baseline"/>
        <w:rPr>
          <w:rFonts w:eastAsia="Times New Roman" w:cstheme="minorHAnsi"/>
          <w:color w:val="000000" w:themeColor="text1"/>
          <w:spacing w:val="4"/>
        </w:rPr>
      </w:pPr>
      <w:r w:rsidRPr="00102563">
        <w:rPr>
          <w:rFonts w:eastAsia="Times New Roman" w:cstheme="minorHAnsi"/>
          <w:color w:val="000000" w:themeColor="text1"/>
          <w:spacing w:val="4"/>
        </w:rPr>
        <w:t>Assess for risk factors such as recent antibiotic use or prior infection/colonization with MRSA/ </w:t>
      </w:r>
      <w:r w:rsidRPr="00102563">
        <w:rPr>
          <w:rFonts w:eastAsia="Times New Roman" w:cstheme="minorHAnsi"/>
          <w:i/>
          <w:iCs/>
          <w:color w:val="000000" w:themeColor="text1"/>
          <w:spacing w:val="4"/>
        </w:rPr>
        <w:t>Pseudomonas.</w:t>
      </w:r>
      <w:r w:rsidRPr="00102563">
        <w:rPr>
          <w:rFonts w:eastAsia="Times New Roman" w:cstheme="minorHAnsi"/>
          <w:color w:val="000000" w:themeColor="text1"/>
          <w:spacing w:val="4"/>
        </w:rPr>
        <w:t xml:space="preserve"> Patients with prior antibiotic use </w:t>
      </w:r>
      <w:r w:rsidR="004B170F" w:rsidRPr="00102563">
        <w:rPr>
          <w:rFonts w:eastAsia="Times New Roman" w:cstheme="minorHAnsi"/>
          <w:color w:val="000000" w:themeColor="text1"/>
          <w:spacing w:val="4"/>
        </w:rPr>
        <w:t>should be</w:t>
      </w:r>
      <w:r w:rsidRPr="00102563">
        <w:rPr>
          <w:rFonts w:eastAsia="Times New Roman" w:cstheme="minorHAnsi"/>
          <w:color w:val="000000" w:themeColor="text1"/>
          <w:spacing w:val="4"/>
        </w:rPr>
        <w:t xml:space="preserve"> treated more broadly and ideally with an antibiotic in a different class. MRSA and </w:t>
      </w:r>
      <w:r w:rsidRPr="00102563">
        <w:rPr>
          <w:rFonts w:eastAsia="Times New Roman" w:cstheme="minorHAnsi"/>
          <w:i/>
          <w:iCs/>
          <w:color w:val="000000" w:themeColor="text1"/>
          <w:spacing w:val="4"/>
        </w:rPr>
        <w:t>Pseudomonas</w:t>
      </w:r>
      <w:r w:rsidRPr="00102563">
        <w:rPr>
          <w:rFonts w:eastAsia="Times New Roman" w:cstheme="minorHAnsi"/>
          <w:color w:val="000000" w:themeColor="text1"/>
          <w:spacing w:val="4"/>
        </w:rPr>
        <w:t> CAP are not commonly managed in the outpatient setting, though MRSA or Pseudomonas coverage can be considered in patients with risk factors. </w:t>
      </w:r>
    </w:p>
    <w:p w14:paraId="015E847E" w14:textId="2FA9D7BC" w:rsidR="00102563" w:rsidRPr="00102563" w:rsidRDefault="00102563" w:rsidP="00102563">
      <w:pPr>
        <w:numPr>
          <w:ilvl w:val="0"/>
          <w:numId w:val="4"/>
        </w:numPr>
        <w:spacing w:after="0" w:line="240" w:lineRule="auto"/>
        <w:textAlignment w:val="baseline"/>
        <w:rPr>
          <w:rFonts w:eastAsia="Times New Roman" w:cstheme="minorHAnsi"/>
          <w:color w:val="000000" w:themeColor="text1"/>
          <w:spacing w:val="4"/>
        </w:rPr>
      </w:pPr>
      <w:r w:rsidRPr="00102563">
        <w:rPr>
          <w:rFonts w:eastAsia="Times New Roman" w:cstheme="minorHAnsi"/>
          <w:i/>
          <w:iCs/>
          <w:color w:val="000000" w:themeColor="text1"/>
          <w:spacing w:val="4"/>
        </w:rPr>
        <w:t>Slide Duration</w:t>
      </w:r>
      <w:r w:rsidRPr="00102563">
        <w:rPr>
          <w:rFonts w:eastAsia="Times New Roman" w:cstheme="minorHAnsi"/>
          <w:color w:val="000000" w:themeColor="text1"/>
          <w:spacing w:val="4"/>
        </w:rPr>
        <w:t> – In general, duration of antibiotics should be 5-7 days regardless of inpatient or outpatient management. Longer courses can be considered for patients with 1) extrapulmonary infection 2) infections with certain pathogens </w:t>
      </w:r>
      <w:r w:rsidRPr="00102563">
        <w:rPr>
          <w:rFonts w:eastAsia="Times New Roman" w:cstheme="minorHAnsi"/>
          <w:i/>
          <w:iCs/>
          <w:color w:val="000000" w:themeColor="text1"/>
          <w:spacing w:val="4"/>
        </w:rPr>
        <w:t xml:space="preserve">(Pseudomonas, Mycobacteria, </w:t>
      </w:r>
      <w:proofErr w:type="spellStart"/>
      <w:r w:rsidRPr="00102563">
        <w:rPr>
          <w:rFonts w:eastAsia="Times New Roman" w:cstheme="minorHAnsi"/>
          <w:i/>
          <w:iCs/>
          <w:color w:val="000000" w:themeColor="text1"/>
          <w:spacing w:val="4"/>
        </w:rPr>
        <w:t>Burkholdleria</w:t>
      </w:r>
      <w:proofErr w:type="spellEnd"/>
      <w:r w:rsidRPr="00102563">
        <w:rPr>
          <w:rFonts w:eastAsia="Times New Roman" w:cstheme="minorHAnsi"/>
          <w:i/>
          <w:iCs/>
          <w:color w:val="000000" w:themeColor="text1"/>
          <w:spacing w:val="4"/>
        </w:rPr>
        <w:t>)</w:t>
      </w:r>
      <w:r w:rsidRPr="00102563">
        <w:rPr>
          <w:rFonts w:eastAsia="Times New Roman" w:cstheme="minorHAnsi"/>
          <w:color w:val="000000" w:themeColor="text1"/>
          <w:spacing w:val="4"/>
        </w:rPr>
        <w:t xml:space="preserve"> 3) necrotizing pneumonia, lung abscess, </w:t>
      </w:r>
      <w:r w:rsidRPr="009D51D6">
        <w:rPr>
          <w:rFonts w:eastAsia="Times New Roman" w:cstheme="minorHAnsi"/>
          <w:color w:val="000000" w:themeColor="text1"/>
          <w:spacing w:val="4"/>
        </w:rPr>
        <w:t>empyema, parapneumonic</w:t>
      </w:r>
      <w:r w:rsidRPr="00102563">
        <w:rPr>
          <w:rFonts w:eastAsia="Times New Roman" w:cstheme="minorHAnsi"/>
          <w:color w:val="000000" w:themeColor="text1"/>
          <w:spacing w:val="4"/>
        </w:rPr>
        <w:t xml:space="preserve"> </w:t>
      </w:r>
      <w:proofErr w:type="gramStart"/>
      <w:r w:rsidRPr="00102563">
        <w:rPr>
          <w:rFonts w:eastAsia="Times New Roman" w:cstheme="minorHAnsi"/>
          <w:color w:val="000000" w:themeColor="text1"/>
          <w:spacing w:val="4"/>
        </w:rPr>
        <w:t>effusions.²</w:t>
      </w:r>
      <w:proofErr w:type="gramEnd"/>
    </w:p>
    <w:p w14:paraId="220D84D5" w14:textId="77777777" w:rsidR="00102563" w:rsidRPr="00102563" w:rsidRDefault="00102563" w:rsidP="00102563">
      <w:pPr>
        <w:numPr>
          <w:ilvl w:val="0"/>
          <w:numId w:val="4"/>
        </w:numPr>
        <w:spacing w:line="240" w:lineRule="auto"/>
        <w:textAlignment w:val="baseline"/>
        <w:rPr>
          <w:rFonts w:eastAsia="Times New Roman" w:cstheme="minorHAnsi"/>
          <w:color w:val="000000" w:themeColor="text1"/>
          <w:spacing w:val="4"/>
        </w:rPr>
      </w:pPr>
      <w:r w:rsidRPr="00102563">
        <w:rPr>
          <w:rFonts w:eastAsia="Times New Roman" w:cstheme="minorHAnsi"/>
          <w:color w:val="000000" w:themeColor="text1"/>
          <w:spacing w:val="4"/>
        </w:rPr>
        <w:t xml:space="preserve">Procalcitonin, while not used for initiation of antibiotics, can be used for early discontinuation of antibiotics. While there is emerging data that 3 days of treatment may be sufficient, current guidelines recommend that bacterial CAP should be treated for no less than 5 </w:t>
      </w:r>
      <w:proofErr w:type="gramStart"/>
      <w:r w:rsidRPr="00102563">
        <w:rPr>
          <w:rFonts w:eastAsia="Times New Roman" w:cstheme="minorHAnsi"/>
          <w:color w:val="000000" w:themeColor="text1"/>
          <w:spacing w:val="4"/>
        </w:rPr>
        <w:t>days.³</w:t>
      </w:r>
      <w:proofErr w:type="gramEnd"/>
      <w:r w:rsidRPr="00102563">
        <w:rPr>
          <w:rFonts w:eastAsia="Times New Roman" w:cstheme="minorHAnsi"/>
          <w:color w:val="000000" w:themeColor="text1"/>
          <w:spacing w:val="4"/>
        </w:rPr>
        <w:t> </w:t>
      </w:r>
    </w:p>
    <w:p w14:paraId="09080604" w14:textId="226FF53D" w:rsidR="009919CE" w:rsidRDefault="009D51D6" w:rsidP="00102563">
      <w:pPr>
        <w:rPr>
          <w:rFonts w:cstheme="minorHAnsi"/>
          <w:color w:val="000000" w:themeColor="text1"/>
        </w:rPr>
      </w:pPr>
      <w:r>
        <w:rPr>
          <w:rFonts w:cstheme="minorHAnsi"/>
          <w:color w:val="000000" w:themeColor="text1"/>
        </w:rPr>
        <w:t>_____________________________________________________________________________________</w:t>
      </w:r>
    </w:p>
    <w:p w14:paraId="36E1B5B3" w14:textId="3B895D20" w:rsidR="009D51D6" w:rsidRPr="009D51D6" w:rsidRDefault="009D51D6" w:rsidP="00102563">
      <w:pPr>
        <w:rPr>
          <w:rFonts w:cstheme="minorHAnsi"/>
          <w:b/>
          <w:bCs/>
          <w:color w:val="000000" w:themeColor="text1"/>
        </w:rPr>
      </w:pPr>
      <w:r w:rsidRPr="009D51D6">
        <w:rPr>
          <w:rFonts w:cstheme="minorHAnsi"/>
          <w:b/>
          <w:bCs/>
          <w:color w:val="000000" w:themeColor="text1"/>
        </w:rPr>
        <w:t xml:space="preserve">Take Home Points: </w:t>
      </w:r>
    </w:p>
    <w:p w14:paraId="34F4DA04" w14:textId="195992F9" w:rsidR="009D51D6" w:rsidRPr="009D51D6" w:rsidRDefault="009D51D6" w:rsidP="009D51D6">
      <w:pPr>
        <w:numPr>
          <w:ilvl w:val="0"/>
          <w:numId w:val="7"/>
        </w:numPr>
        <w:spacing w:after="0" w:line="240" w:lineRule="auto"/>
        <w:textAlignment w:val="baseline"/>
        <w:rPr>
          <w:rFonts w:eastAsia="Times New Roman" w:cstheme="minorHAnsi"/>
          <w:color w:val="000000" w:themeColor="text1"/>
          <w:spacing w:val="4"/>
        </w:rPr>
      </w:pPr>
      <w:r w:rsidRPr="009D51D6">
        <w:rPr>
          <w:rFonts w:eastAsia="Times New Roman" w:cstheme="minorHAnsi"/>
          <w:i/>
          <w:iCs/>
          <w:color w:val="000000" w:themeColor="text1"/>
          <w:spacing w:val="4"/>
        </w:rPr>
        <w:t>S. pneumoniae</w:t>
      </w:r>
      <w:r w:rsidRPr="009D51D6">
        <w:rPr>
          <w:rFonts w:eastAsia="Times New Roman" w:cstheme="minorHAnsi"/>
          <w:color w:val="000000" w:themeColor="text1"/>
          <w:spacing w:val="4"/>
        </w:rPr>
        <w:t>, GNRs (</w:t>
      </w:r>
      <w:r w:rsidRPr="009D51D6">
        <w:rPr>
          <w:rFonts w:eastAsia="Times New Roman" w:cstheme="minorHAnsi"/>
          <w:i/>
          <w:iCs/>
          <w:color w:val="000000" w:themeColor="text1"/>
          <w:spacing w:val="4"/>
        </w:rPr>
        <w:t>H. flu, Moraxella)</w:t>
      </w:r>
      <w:r w:rsidRPr="009D51D6">
        <w:rPr>
          <w:rFonts w:eastAsia="Times New Roman" w:cstheme="minorHAnsi"/>
          <w:color w:val="000000" w:themeColor="text1"/>
          <w:spacing w:val="4"/>
        </w:rPr>
        <w:t>, and atypical pathogens are the most common cause</w:t>
      </w:r>
      <w:r w:rsidR="004B170F">
        <w:rPr>
          <w:rFonts w:eastAsia="Times New Roman" w:cstheme="minorHAnsi"/>
          <w:color w:val="000000" w:themeColor="text1"/>
          <w:spacing w:val="4"/>
        </w:rPr>
        <w:t>s</w:t>
      </w:r>
      <w:r w:rsidRPr="009D51D6">
        <w:rPr>
          <w:rFonts w:eastAsia="Times New Roman" w:cstheme="minorHAnsi"/>
          <w:color w:val="000000" w:themeColor="text1"/>
          <w:spacing w:val="4"/>
        </w:rPr>
        <w:t xml:space="preserve"> of CAP. Risk factors for more resistant pathogens include patients with prior MRSA/ </w:t>
      </w:r>
      <w:r w:rsidRPr="009D51D6">
        <w:rPr>
          <w:rFonts w:eastAsia="Times New Roman" w:cstheme="minorHAnsi"/>
          <w:i/>
          <w:iCs/>
          <w:color w:val="000000" w:themeColor="text1"/>
          <w:spacing w:val="4"/>
        </w:rPr>
        <w:t>Pseudomonas</w:t>
      </w:r>
      <w:r w:rsidRPr="009D51D6">
        <w:rPr>
          <w:rFonts w:eastAsia="Times New Roman" w:cstheme="minorHAnsi"/>
          <w:color w:val="000000" w:themeColor="text1"/>
          <w:spacing w:val="4"/>
        </w:rPr>
        <w:t xml:space="preserve"> infection or colonization OR have recently been hospitalized with receipt of IV antibiotics.</w:t>
      </w:r>
    </w:p>
    <w:p w14:paraId="305CA7FE" w14:textId="09DF7E3F" w:rsidR="009D51D6" w:rsidRPr="009D51D6" w:rsidRDefault="009D51D6" w:rsidP="009D51D6">
      <w:pPr>
        <w:numPr>
          <w:ilvl w:val="0"/>
          <w:numId w:val="7"/>
        </w:numPr>
        <w:spacing w:after="0" w:line="240" w:lineRule="auto"/>
        <w:textAlignment w:val="baseline"/>
        <w:rPr>
          <w:rFonts w:eastAsia="Times New Roman" w:cstheme="minorHAnsi"/>
          <w:color w:val="000000" w:themeColor="text1"/>
          <w:spacing w:val="4"/>
        </w:rPr>
      </w:pPr>
      <w:r w:rsidRPr="009D51D6">
        <w:rPr>
          <w:rFonts w:eastAsia="Times New Roman" w:cstheme="minorHAnsi"/>
          <w:color w:val="000000" w:themeColor="text1"/>
          <w:spacing w:val="4"/>
        </w:rPr>
        <w:t xml:space="preserve">Patients with CAP and PSI class I-II (or CURB-65 score of 0-1) may be able to be managed as an outpatient. </w:t>
      </w:r>
      <w:r w:rsidR="004B170F">
        <w:rPr>
          <w:rFonts w:eastAsia="Times New Roman" w:cstheme="minorHAnsi"/>
          <w:color w:val="000000" w:themeColor="text1"/>
          <w:spacing w:val="4"/>
        </w:rPr>
        <w:t>Use ATS criteria to identify</w:t>
      </w:r>
      <w:r w:rsidRPr="009D51D6">
        <w:rPr>
          <w:rFonts w:eastAsia="Times New Roman" w:cstheme="minorHAnsi"/>
          <w:color w:val="000000" w:themeColor="text1"/>
          <w:spacing w:val="4"/>
        </w:rPr>
        <w:t xml:space="preserve"> patients who require ICU level care. </w:t>
      </w:r>
    </w:p>
    <w:p w14:paraId="6DA57B42" w14:textId="61D3DA00" w:rsidR="009D51D6" w:rsidRPr="009D51D6" w:rsidRDefault="009D51D6" w:rsidP="009D51D6">
      <w:pPr>
        <w:numPr>
          <w:ilvl w:val="0"/>
          <w:numId w:val="7"/>
        </w:numPr>
        <w:spacing w:after="0" w:line="240" w:lineRule="auto"/>
        <w:textAlignment w:val="baseline"/>
        <w:rPr>
          <w:rFonts w:eastAsia="Times New Roman" w:cstheme="minorHAnsi"/>
          <w:color w:val="000000" w:themeColor="text1"/>
          <w:spacing w:val="4"/>
        </w:rPr>
      </w:pPr>
      <w:r w:rsidRPr="009D51D6">
        <w:rPr>
          <w:rFonts w:eastAsia="Times New Roman" w:cstheme="minorHAnsi"/>
          <w:color w:val="000000" w:themeColor="text1"/>
          <w:spacing w:val="4"/>
        </w:rPr>
        <w:t>Patients with severe disease and prior MRSA or </w:t>
      </w:r>
      <w:r w:rsidRPr="009D51D6">
        <w:rPr>
          <w:rFonts w:eastAsia="Times New Roman" w:cstheme="minorHAnsi"/>
          <w:i/>
          <w:iCs/>
          <w:color w:val="000000" w:themeColor="text1"/>
          <w:spacing w:val="4"/>
        </w:rPr>
        <w:t>Pseudomonas</w:t>
      </w:r>
      <w:r w:rsidRPr="009D51D6">
        <w:rPr>
          <w:rFonts w:eastAsia="Times New Roman" w:cstheme="minorHAnsi"/>
          <w:color w:val="000000" w:themeColor="text1"/>
          <w:spacing w:val="4"/>
        </w:rPr>
        <w:t> colonization/infection should receive cultures and be empirically covered for MRSA and </w:t>
      </w:r>
      <w:r w:rsidRPr="009D51D6">
        <w:rPr>
          <w:rFonts w:eastAsia="Times New Roman" w:cstheme="minorHAnsi"/>
          <w:i/>
          <w:iCs/>
          <w:color w:val="000000" w:themeColor="text1"/>
          <w:spacing w:val="4"/>
        </w:rPr>
        <w:t>Pseudomonas.</w:t>
      </w:r>
      <w:r w:rsidRPr="009D51D6">
        <w:rPr>
          <w:rFonts w:eastAsia="Times New Roman" w:cstheme="minorHAnsi"/>
          <w:color w:val="000000" w:themeColor="text1"/>
          <w:spacing w:val="4"/>
        </w:rPr>
        <w:t xml:space="preserve"> Patients with non-severe CAP should not be cultured. </w:t>
      </w:r>
    </w:p>
    <w:p w14:paraId="4527EA7A" w14:textId="77777777" w:rsidR="004B170F" w:rsidRPr="004B170F" w:rsidRDefault="009D51D6" w:rsidP="00FC7AD3">
      <w:pPr>
        <w:numPr>
          <w:ilvl w:val="0"/>
          <w:numId w:val="7"/>
        </w:numPr>
        <w:spacing w:after="0" w:line="240" w:lineRule="auto"/>
        <w:textAlignment w:val="baseline"/>
        <w:rPr>
          <w:rFonts w:cstheme="minorHAnsi"/>
          <w:color w:val="000000" w:themeColor="text1"/>
        </w:rPr>
      </w:pPr>
      <w:r w:rsidRPr="009D51D6">
        <w:rPr>
          <w:rFonts w:eastAsia="Times New Roman" w:cstheme="minorHAnsi"/>
          <w:color w:val="000000" w:themeColor="text1"/>
          <w:spacing w:val="4"/>
        </w:rPr>
        <w:t>Outpatient management of CAP is differentiated by the presence of MDR risk factors and comorbidities.</w:t>
      </w:r>
    </w:p>
    <w:p w14:paraId="2AFF733F" w14:textId="03C8B081" w:rsidR="009D51D6" w:rsidRPr="004B170F" w:rsidRDefault="009D51D6" w:rsidP="004B170F">
      <w:pPr>
        <w:spacing w:after="0" w:line="240" w:lineRule="auto"/>
        <w:textAlignment w:val="baseline"/>
        <w:rPr>
          <w:rFonts w:cstheme="minorHAnsi"/>
          <w:color w:val="000000" w:themeColor="text1"/>
        </w:rPr>
      </w:pPr>
      <w:r w:rsidRPr="004B170F">
        <w:rPr>
          <w:rFonts w:cstheme="minorHAnsi"/>
          <w:color w:val="000000" w:themeColor="text1"/>
        </w:rPr>
        <w:t>_____________________________________________________________________________________</w:t>
      </w:r>
    </w:p>
    <w:p w14:paraId="421E0EB2" w14:textId="77777777" w:rsidR="00102563" w:rsidRPr="00102563" w:rsidRDefault="00102563" w:rsidP="00102563">
      <w:pPr>
        <w:shd w:val="clear" w:color="auto" w:fill="FEFEFE"/>
        <w:spacing w:line="240" w:lineRule="auto"/>
        <w:outlineLvl w:val="1"/>
        <w:rPr>
          <w:rFonts w:eastAsia="Times New Roman" w:cstheme="minorHAnsi"/>
          <w:b/>
          <w:bCs/>
          <w:color w:val="000000" w:themeColor="text1"/>
          <w:spacing w:val="4"/>
        </w:rPr>
      </w:pPr>
      <w:r w:rsidRPr="00102563">
        <w:rPr>
          <w:rFonts w:eastAsia="Times New Roman" w:cstheme="minorHAnsi"/>
          <w:b/>
          <w:bCs/>
          <w:color w:val="000000" w:themeColor="text1"/>
          <w:spacing w:val="4"/>
        </w:rPr>
        <w:t>References</w:t>
      </w:r>
    </w:p>
    <w:p w14:paraId="16268CC5" w14:textId="77777777" w:rsidR="00102563" w:rsidRPr="00102563" w:rsidRDefault="00102563" w:rsidP="00102563">
      <w:pPr>
        <w:numPr>
          <w:ilvl w:val="0"/>
          <w:numId w:val="5"/>
        </w:numPr>
        <w:spacing w:after="0" w:line="240" w:lineRule="auto"/>
        <w:textAlignment w:val="baseline"/>
        <w:rPr>
          <w:rFonts w:eastAsia="Times New Roman" w:cstheme="minorHAnsi"/>
          <w:color w:val="000000" w:themeColor="text1"/>
          <w:spacing w:val="4"/>
        </w:rPr>
      </w:pPr>
      <w:proofErr w:type="spellStart"/>
      <w:r w:rsidRPr="00102563">
        <w:rPr>
          <w:rFonts w:eastAsia="Times New Roman" w:cstheme="minorHAnsi"/>
          <w:color w:val="000000" w:themeColor="text1"/>
          <w:spacing w:val="4"/>
        </w:rPr>
        <w:t>Metlay</w:t>
      </w:r>
      <w:proofErr w:type="spellEnd"/>
      <w:r w:rsidRPr="00102563">
        <w:rPr>
          <w:rFonts w:eastAsia="Times New Roman" w:cstheme="minorHAnsi"/>
          <w:color w:val="000000" w:themeColor="text1"/>
          <w:spacing w:val="4"/>
        </w:rPr>
        <w:t xml:space="preserve"> J, et al. Diagnosis and Treatment of Community-acquired Pneumonia. An Official Clinical Practice Guideline of the American Thoracic Society and Infectious Disease Society of America. </w:t>
      </w:r>
      <w:r w:rsidRPr="00102563">
        <w:rPr>
          <w:rFonts w:eastAsia="Times New Roman" w:cstheme="minorHAnsi"/>
          <w:i/>
          <w:iCs/>
          <w:color w:val="000000" w:themeColor="text1"/>
          <w:spacing w:val="4"/>
        </w:rPr>
        <w:t>American Journal of Respiratory and Critical Care Medicine. </w:t>
      </w:r>
      <w:r w:rsidRPr="00102563">
        <w:rPr>
          <w:rFonts w:eastAsia="Times New Roman" w:cstheme="minorHAnsi"/>
          <w:color w:val="000000" w:themeColor="text1"/>
          <w:spacing w:val="4"/>
        </w:rPr>
        <w:t>2019. 200(7): e45-e67</w:t>
      </w:r>
    </w:p>
    <w:p w14:paraId="5FF32DB1" w14:textId="77777777" w:rsidR="00102563" w:rsidRPr="00102563" w:rsidRDefault="00102563" w:rsidP="00102563">
      <w:pPr>
        <w:numPr>
          <w:ilvl w:val="0"/>
          <w:numId w:val="5"/>
        </w:numPr>
        <w:spacing w:after="0" w:line="240" w:lineRule="auto"/>
        <w:textAlignment w:val="baseline"/>
        <w:rPr>
          <w:rFonts w:eastAsia="Times New Roman" w:cstheme="minorHAnsi"/>
          <w:color w:val="000000" w:themeColor="text1"/>
          <w:spacing w:val="4"/>
        </w:rPr>
      </w:pPr>
      <w:r w:rsidRPr="00102563">
        <w:rPr>
          <w:rFonts w:eastAsia="Times New Roman" w:cstheme="minorHAnsi"/>
          <w:color w:val="000000" w:themeColor="text1"/>
          <w:spacing w:val="4"/>
        </w:rPr>
        <w:lastRenderedPageBreak/>
        <w:t>File Jr TM. Treatment of community-acquired pneumonia in adults who require hospitalization. In </w:t>
      </w:r>
      <w:proofErr w:type="spellStart"/>
      <w:r w:rsidRPr="00102563">
        <w:rPr>
          <w:rFonts w:eastAsia="Times New Roman" w:cstheme="minorHAnsi"/>
          <w:i/>
          <w:iCs/>
          <w:color w:val="000000" w:themeColor="text1"/>
          <w:spacing w:val="4"/>
        </w:rPr>
        <w:t>Uptodate</w:t>
      </w:r>
      <w:proofErr w:type="spellEnd"/>
      <w:r w:rsidRPr="00102563">
        <w:rPr>
          <w:rFonts w:eastAsia="Times New Roman" w:cstheme="minorHAnsi"/>
          <w:i/>
          <w:iCs/>
          <w:color w:val="000000" w:themeColor="text1"/>
          <w:spacing w:val="4"/>
        </w:rPr>
        <w:t>, </w:t>
      </w:r>
      <w:r w:rsidRPr="00102563">
        <w:rPr>
          <w:rFonts w:eastAsia="Times New Roman" w:cstheme="minorHAnsi"/>
          <w:color w:val="000000" w:themeColor="text1"/>
          <w:spacing w:val="4"/>
        </w:rPr>
        <w:t xml:space="preserve">Ramirez JA (ed). </w:t>
      </w:r>
      <w:proofErr w:type="spellStart"/>
      <w:r w:rsidRPr="00102563">
        <w:rPr>
          <w:rFonts w:eastAsia="Times New Roman" w:cstheme="minorHAnsi"/>
          <w:color w:val="000000" w:themeColor="text1"/>
          <w:spacing w:val="4"/>
        </w:rPr>
        <w:t>Uptodate</w:t>
      </w:r>
      <w:proofErr w:type="spellEnd"/>
      <w:r w:rsidRPr="00102563">
        <w:rPr>
          <w:rFonts w:eastAsia="Times New Roman" w:cstheme="minorHAnsi"/>
          <w:color w:val="000000" w:themeColor="text1"/>
          <w:spacing w:val="4"/>
        </w:rPr>
        <w:t>, Waltham, MA. (Accessed on September 22, 2021.)</w:t>
      </w:r>
    </w:p>
    <w:p w14:paraId="0F2CCE1F" w14:textId="77777777" w:rsidR="00102563" w:rsidRPr="00102563" w:rsidRDefault="00102563" w:rsidP="00102563">
      <w:pPr>
        <w:numPr>
          <w:ilvl w:val="0"/>
          <w:numId w:val="5"/>
        </w:numPr>
        <w:spacing w:after="0" w:line="240" w:lineRule="auto"/>
        <w:textAlignment w:val="baseline"/>
        <w:rPr>
          <w:rFonts w:eastAsia="Times New Roman" w:cstheme="minorHAnsi"/>
          <w:color w:val="000000" w:themeColor="text1"/>
          <w:spacing w:val="4"/>
        </w:rPr>
      </w:pPr>
      <w:r w:rsidRPr="00102563">
        <w:rPr>
          <w:rFonts w:eastAsia="Times New Roman" w:cstheme="minorHAnsi"/>
          <w:color w:val="000000" w:themeColor="text1"/>
          <w:spacing w:val="4"/>
        </w:rPr>
        <w:t>File Jr TM. Treatment of community-acquired pneumonia in adults in the outpatient setting. In </w:t>
      </w:r>
      <w:proofErr w:type="spellStart"/>
      <w:r w:rsidRPr="00102563">
        <w:rPr>
          <w:rFonts w:eastAsia="Times New Roman" w:cstheme="minorHAnsi"/>
          <w:i/>
          <w:iCs/>
          <w:color w:val="000000" w:themeColor="text1"/>
          <w:spacing w:val="4"/>
        </w:rPr>
        <w:t>Uptodate</w:t>
      </w:r>
      <w:proofErr w:type="spellEnd"/>
      <w:r w:rsidRPr="00102563">
        <w:rPr>
          <w:rFonts w:eastAsia="Times New Roman" w:cstheme="minorHAnsi"/>
          <w:i/>
          <w:iCs/>
          <w:color w:val="000000" w:themeColor="text1"/>
          <w:spacing w:val="4"/>
        </w:rPr>
        <w:t>, </w:t>
      </w:r>
      <w:r w:rsidRPr="00102563">
        <w:rPr>
          <w:rFonts w:eastAsia="Times New Roman" w:cstheme="minorHAnsi"/>
          <w:color w:val="000000" w:themeColor="text1"/>
          <w:spacing w:val="4"/>
        </w:rPr>
        <w:t xml:space="preserve">Ramirez JA (ed). </w:t>
      </w:r>
      <w:proofErr w:type="spellStart"/>
      <w:r w:rsidRPr="00102563">
        <w:rPr>
          <w:rFonts w:eastAsia="Times New Roman" w:cstheme="minorHAnsi"/>
          <w:color w:val="000000" w:themeColor="text1"/>
          <w:spacing w:val="4"/>
        </w:rPr>
        <w:t>Uptodate</w:t>
      </w:r>
      <w:proofErr w:type="spellEnd"/>
      <w:r w:rsidRPr="00102563">
        <w:rPr>
          <w:rFonts w:eastAsia="Times New Roman" w:cstheme="minorHAnsi"/>
          <w:color w:val="000000" w:themeColor="text1"/>
          <w:spacing w:val="4"/>
        </w:rPr>
        <w:t>, Waltham, MA. (Accessed on September 22, 2021.)</w:t>
      </w:r>
    </w:p>
    <w:p w14:paraId="44EC478A" w14:textId="77777777" w:rsidR="00102563" w:rsidRPr="00102563" w:rsidRDefault="00102563" w:rsidP="00102563">
      <w:pPr>
        <w:numPr>
          <w:ilvl w:val="0"/>
          <w:numId w:val="5"/>
        </w:numPr>
        <w:spacing w:after="0" w:line="240" w:lineRule="auto"/>
        <w:textAlignment w:val="baseline"/>
        <w:rPr>
          <w:rFonts w:eastAsia="Times New Roman" w:cstheme="minorHAnsi"/>
          <w:color w:val="000000" w:themeColor="text1"/>
          <w:spacing w:val="4"/>
        </w:rPr>
      </w:pPr>
      <w:proofErr w:type="spellStart"/>
      <w:r w:rsidRPr="00102563">
        <w:rPr>
          <w:rFonts w:eastAsia="Times New Roman" w:cstheme="minorHAnsi"/>
          <w:color w:val="000000" w:themeColor="text1"/>
          <w:spacing w:val="4"/>
        </w:rPr>
        <w:t>Kanj</w:t>
      </w:r>
      <w:proofErr w:type="spellEnd"/>
      <w:r w:rsidRPr="00102563">
        <w:rPr>
          <w:rFonts w:eastAsia="Times New Roman" w:cstheme="minorHAnsi"/>
          <w:color w:val="000000" w:themeColor="text1"/>
          <w:spacing w:val="4"/>
        </w:rPr>
        <w:t xml:space="preserve"> SS &amp; Sexton DJ. Pseudomonas aeruginosa pneumonia. In </w:t>
      </w:r>
      <w:proofErr w:type="spellStart"/>
      <w:r w:rsidRPr="00102563">
        <w:rPr>
          <w:rFonts w:eastAsia="Times New Roman" w:cstheme="minorHAnsi"/>
          <w:i/>
          <w:iCs/>
          <w:color w:val="000000" w:themeColor="text1"/>
          <w:spacing w:val="4"/>
        </w:rPr>
        <w:t>Uptodate</w:t>
      </w:r>
      <w:proofErr w:type="spellEnd"/>
      <w:r w:rsidRPr="00102563">
        <w:rPr>
          <w:rFonts w:eastAsia="Times New Roman" w:cstheme="minorHAnsi"/>
          <w:i/>
          <w:iCs/>
          <w:color w:val="000000" w:themeColor="text1"/>
          <w:spacing w:val="4"/>
        </w:rPr>
        <w:t>, </w:t>
      </w:r>
      <w:r w:rsidRPr="00102563">
        <w:rPr>
          <w:rFonts w:eastAsia="Times New Roman" w:cstheme="minorHAnsi"/>
          <w:color w:val="000000" w:themeColor="text1"/>
          <w:spacing w:val="4"/>
        </w:rPr>
        <w:t xml:space="preserve">Calderwood SB (ed). </w:t>
      </w:r>
      <w:proofErr w:type="spellStart"/>
      <w:r w:rsidRPr="00102563">
        <w:rPr>
          <w:rFonts w:eastAsia="Times New Roman" w:cstheme="minorHAnsi"/>
          <w:color w:val="000000" w:themeColor="text1"/>
          <w:spacing w:val="4"/>
        </w:rPr>
        <w:t>Uptodate</w:t>
      </w:r>
      <w:proofErr w:type="spellEnd"/>
      <w:r w:rsidRPr="00102563">
        <w:rPr>
          <w:rFonts w:eastAsia="Times New Roman" w:cstheme="minorHAnsi"/>
          <w:color w:val="000000" w:themeColor="text1"/>
          <w:spacing w:val="4"/>
        </w:rPr>
        <w:t>, Waltham, MA. (Accessed on September 22, 2021.)</w:t>
      </w:r>
    </w:p>
    <w:p w14:paraId="4CEC6EAE" w14:textId="77777777" w:rsidR="00102563" w:rsidRPr="009D51D6" w:rsidRDefault="00102563" w:rsidP="00102563">
      <w:pPr>
        <w:rPr>
          <w:rFonts w:cstheme="minorHAnsi"/>
          <w:color w:val="000000" w:themeColor="text1"/>
        </w:rPr>
      </w:pPr>
    </w:p>
    <w:sectPr w:rsidR="00102563" w:rsidRPr="009D5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329B2"/>
    <w:multiLevelType w:val="multilevel"/>
    <w:tmpl w:val="956CD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E7902"/>
    <w:multiLevelType w:val="multilevel"/>
    <w:tmpl w:val="18967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17498D"/>
    <w:multiLevelType w:val="multilevel"/>
    <w:tmpl w:val="E642F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512D3"/>
    <w:multiLevelType w:val="multilevel"/>
    <w:tmpl w:val="D8643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722DD4"/>
    <w:multiLevelType w:val="multilevel"/>
    <w:tmpl w:val="D5EC5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0A3BF6"/>
    <w:multiLevelType w:val="multilevel"/>
    <w:tmpl w:val="0EFAD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742CB6"/>
    <w:multiLevelType w:val="multilevel"/>
    <w:tmpl w:val="E1840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63"/>
    <w:rsid w:val="00102563"/>
    <w:rsid w:val="002E609B"/>
    <w:rsid w:val="004B170F"/>
    <w:rsid w:val="006B3727"/>
    <w:rsid w:val="00770631"/>
    <w:rsid w:val="009919CE"/>
    <w:rsid w:val="009D51D6"/>
    <w:rsid w:val="00AB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89BC"/>
  <w15:chartTrackingRefBased/>
  <w15:docId w15:val="{09CA5D04-6902-4706-8048-D0FADBA4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025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25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2563"/>
    <w:rPr>
      <w:b/>
      <w:bCs/>
    </w:rPr>
  </w:style>
  <w:style w:type="character" w:styleId="Emphasis">
    <w:name w:val="Emphasis"/>
    <w:basedOn w:val="DefaultParagraphFont"/>
    <w:uiPriority w:val="20"/>
    <w:qFormat/>
    <w:rsid w:val="00102563"/>
    <w:rPr>
      <w:i/>
      <w:iCs/>
    </w:rPr>
  </w:style>
  <w:style w:type="character" w:styleId="Hyperlink">
    <w:name w:val="Hyperlink"/>
    <w:basedOn w:val="DefaultParagraphFont"/>
    <w:uiPriority w:val="99"/>
    <w:semiHidden/>
    <w:unhideWhenUsed/>
    <w:rsid w:val="00102563"/>
    <w:rPr>
      <w:color w:val="0000FF"/>
      <w:u w:val="single"/>
    </w:rPr>
  </w:style>
  <w:style w:type="character" w:customStyle="1" w:styleId="Heading2Char">
    <w:name w:val="Heading 2 Char"/>
    <w:basedOn w:val="DefaultParagraphFont"/>
    <w:link w:val="Heading2"/>
    <w:uiPriority w:val="9"/>
    <w:rsid w:val="00102563"/>
    <w:rPr>
      <w:rFonts w:ascii="Times New Roman" w:eastAsia="Times New Roman" w:hAnsi="Times New Roman" w:cs="Times New Roman"/>
      <w:b/>
      <w:bCs/>
      <w:sz w:val="36"/>
      <w:szCs w:val="36"/>
    </w:rPr>
  </w:style>
  <w:style w:type="paragraph" w:styleId="ListParagraph">
    <w:name w:val="List Paragraph"/>
    <w:basedOn w:val="Normal"/>
    <w:uiPriority w:val="34"/>
    <w:qFormat/>
    <w:rsid w:val="009D5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1212">
      <w:bodyDiv w:val="1"/>
      <w:marLeft w:val="0"/>
      <w:marRight w:val="0"/>
      <w:marTop w:val="0"/>
      <w:marBottom w:val="0"/>
      <w:divBdr>
        <w:top w:val="none" w:sz="0" w:space="0" w:color="auto"/>
        <w:left w:val="none" w:sz="0" w:space="0" w:color="auto"/>
        <w:bottom w:val="none" w:sz="0" w:space="0" w:color="auto"/>
        <w:right w:val="none" w:sz="0" w:space="0" w:color="auto"/>
      </w:divBdr>
      <w:divsChild>
        <w:div w:id="1552687873">
          <w:marLeft w:val="0"/>
          <w:marRight w:val="0"/>
          <w:marTop w:val="0"/>
          <w:marBottom w:val="450"/>
          <w:divBdr>
            <w:top w:val="none" w:sz="0" w:space="0" w:color="auto"/>
            <w:left w:val="none" w:sz="0" w:space="0" w:color="auto"/>
            <w:bottom w:val="none" w:sz="0" w:space="0" w:color="auto"/>
            <w:right w:val="none" w:sz="0" w:space="0" w:color="auto"/>
          </w:divBdr>
          <w:divsChild>
            <w:div w:id="2101371793">
              <w:marLeft w:val="0"/>
              <w:marRight w:val="0"/>
              <w:marTop w:val="0"/>
              <w:marBottom w:val="0"/>
              <w:divBdr>
                <w:top w:val="none" w:sz="0" w:space="0" w:color="auto"/>
                <w:left w:val="none" w:sz="0" w:space="0" w:color="auto"/>
                <w:bottom w:val="none" w:sz="0" w:space="0" w:color="auto"/>
                <w:right w:val="none" w:sz="0" w:space="0" w:color="auto"/>
              </w:divBdr>
              <w:divsChild>
                <w:div w:id="17377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00016">
      <w:bodyDiv w:val="1"/>
      <w:marLeft w:val="0"/>
      <w:marRight w:val="0"/>
      <w:marTop w:val="0"/>
      <w:marBottom w:val="0"/>
      <w:divBdr>
        <w:top w:val="none" w:sz="0" w:space="0" w:color="auto"/>
        <w:left w:val="none" w:sz="0" w:space="0" w:color="auto"/>
        <w:bottom w:val="none" w:sz="0" w:space="0" w:color="auto"/>
        <w:right w:val="none" w:sz="0" w:space="0" w:color="auto"/>
      </w:divBdr>
    </w:div>
    <w:div w:id="683171821">
      <w:bodyDiv w:val="1"/>
      <w:marLeft w:val="0"/>
      <w:marRight w:val="0"/>
      <w:marTop w:val="0"/>
      <w:marBottom w:val="0"/>
      <w:divBdr>
        <w:top w:val="none" w:sz="0" w:space="0" w:color="auto"/>
        <w:left w:val="none" w:sz="0" w:space="0" w:color="auto"/>
        <w:bottom w:val="none" w:sz="0" w:space="0" w:color="auto"/>
        <w:right w:val="none" w:sz="0" w:space="0" w:color="auto"/>
      </w:divBdr>
    </w:div>
    <w:div w:id="1481924962">
      <w:bodyDiv w:val="1"/>
      <w:marLeft w:val="0"/>
      <w:marRight w:val="0"/>
      <w:marTop w:val="0"/>
      <w:marBottom w:val="0"/>
      <w:divBdr>
        <w:top w:val="none" w:sz="0" w:space="0" w:color="auto"/>
        <w:left w:val="none" w:sz="0" w:space="0" w:color="auto"/>
        <w:bottom w:val="none" w:sz="0" w:space="0" w:color="auto"/>
        <w:right w:val="none" w:sz="0" w:space="0" w:color="auto"/>
      </w:divBdr>
    </w:div>
    <w:div w:id="2057778512">
      <w:bodyDiv w:val="1"/>
      <w:marLeft w:val="0"/>
      <w:marRight w:val="0"/>
      <w:marTop w:val="0"/>
      <w:marBottom w:val="0"/>
      <w:divBdr>
        <w:top w:val="none" w:sz="0" w:space="0" w:color="auto"/>
        <w:left w:val="none" w:sz="0" w:space="0" w:color="auto"/>
        <w:bottom w:val="none" w:sz="0" w:space="0" w:color="auto"/>
        <w:right w:val="none" w:sz="0" w:space="0" w:color="auto"/>
      </w:divBdr>
      <w:divsChild>
        <w:div w:id="1441072798">
          <w:marLeft w:val="0"/>
          <w:marRight w:val="0"/>
          <w:marTop w:val="0"/>
          <w:marBottom w:val="450"/>
          <w:divBdr>
            <w:top w:val="none" w:sz="0" w:space="0" w:color="auto"/>
            <w:left w:val="none" w:sz="0" w:space="0" w:color="auto"/>
            <w:bottom w:val="none" w:sz="0" w:space="0" w:color="auto"/>
            <w:right w:val="none" w:sz="0" w:space="0" w:color="auto"/>
          </w:divBdr>
          <w:divsChild>
            <w:div w:id="1150050316">
              <w:marLeft w:val="0"/>
              <w:marRight w:val="0"/>
              <w:marTop w:val="0"/>
              <w:marBottom w:val="0"/>
              <w:divBdr>
                <w:top w:val="none" w:sz="0" w:space="0" w:color="auto"/>
                <w:left w:val="none" w:sz="0" w:space="0" w:color="auto"/>
                <w:bottom w:val="none" w:sz="0" w:space="0" w:color="auto"/>
                <w:right w:val="none" w:sz="0" w:space="0" w:color="auto"/>
              </w:divBdr>
            </w:div>
          </w:divsChild>
        </w:div>
        <w:div w:id="701512504">
          <w:marLeft w:val="0"/>
          <w:marRight w:val="0"/>
          <w:marTop w:val="0"/>
          <w:marBottom w:val="0"/>
          <w:divBdr>
            <w:top w:val="none" w:sz="0" w:space="0" w:color="auto"/>
            <w:left w:val="none" w:sz="0" w:space="0" w:color="auto"/>
            <w:bottom w:val="none" w:sz="0" w:space="0" w:color="auto"/>
            <w:right w:val="none" w:sz="0" w:space="0" w:color="auto"/>
          </w:divBdr>
          <w:divsChild>
            <w:div w:id="171724893">
              <w:marLeft w:val="0"/>
              <w:marRight w:val="0"/>
              <w:marTop w:val="0"/>
              <w:marBottom w:val="0"/>
              <w:divBdr>
                <w:top w:val="none" w:sz="0" w:space="0" w:color="auto"/>
                <w:left w:val="none" w:sz="0" w:space="0" w:color="auto"/>
                <w:bottom w:val="none" w:sz="0" w:space="0" w:color="auto"/>
                <w:right w:val="none" w:sz="0" w:space="0" w:color="auto"/>
              </w:divBdr>
              <w:divsChild>
                <w:div w:id="2847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dcalc.com/curb-65-score-pneumonia-severity" TargetMode="External"/><Relationship Id="rId5" Type="http://schemas.openxmlformats.org/officeDocument/2006/relationships/hyperlink" Target="https://www.mdcalc.com/psi-port-score-pneumonia-severity-index-ca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Yilin Zhang</dc:creator>
  <cp:keywords/>
  <dc:description/>
  <cp:lastModifiedBy>Yilin Zhang</cp:lastModifiedBy>
  <cp:revision>2</cp:revision>
  <dcterms:created xsi:type="dcterms:W3CDTF">2021-09-23T20:22:00Z</dcterms:created>
  <dcterms:modified xsi:type="dcterms:W3CDTF">2021-09-23T20:22:00Z</dcterms:modified>
</cp:coreProperties>
</file>