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50B7" w14:textId="3CE2B566" w:rsidR="00BE73DA" w:rsidRPr="00C07DFC" w:rsidRDefault="00BE73DA" w:rsidP="00BE73DA">
      <w:pPr>
        <w:spacing w:after="0" w:line="240" w:lineRule="auto"/>
        <w:contextualSpacing/>
        <w:rPr>
          <w:rFonts w:eastAsia="Times New Roman" w:cstheme="minorHAnsi"/>
          <w:b/>
          <w:bCs/>
        </w:rPr>
      </w:pPr>
      <w:r w:rsidRPr="00C07DFC">
        <w:rPr>
          <w:rFonts w:eastAsia="Times New Roman" w:cstheme="minorHAnsi"/>
          <w:b/>
          <w:bCs/>
        </w:rPr>
        <w:t>Author</w:t>
      </w:r>
      <w:r w:rsidR="004B235B">
        <w:rPr>
          <w:rFonts w:eastAsia="Times New Roman" w:cstheme="minorHAnsi"/>
          <w:b/>
          <w:bCs/>
        </w:rPr>
        <w:t>s</w:t>
      </w:r>
      <w:r w:rsidR="00814715" w:rsidRPr="00C07DFC">
        <w:rPr>
          <w:rFonts w:eastAsia="Times New Roman" w:cstheme="minorHAnsi"/>
          <w:b/>
          <w:bCs/>
        </w:rPr>
        <w:t>:</w:t>
      </w:r>
      <w:r w:rsidR="00654F52" w:rsidRPr="00C07DFC">
        <w:rPr>
          <w:rFonts w:eastAsia="Times New Roman" w:cstheme="minorHAnsi"/>
          <w:color w:val="000000" w:themeColor="text1"/>
        </w:rPr>
        <w:t xml:space="preserve"> </w:t>
      </w:r>
      <w:r w:rsidR="00DB0BDD" w:rsidRPr="00C07DFC">
        <w:rPr>
          <w:rFonts w:eastAsia="Times New Roman" w:cstheme="minorHAnsi"/>
          <w:color w:val="000000" w:themeColor="text1"/>
        </w:rPr>
        <w:t>Molly Brett, MD</w:t>
      </w:r>
      <w:r w:rsidR="00DB0BDD">
        <w:rPr>
          <w:rFonts w:eastAsia="Times New Roman" w:cstheme="minorHAnsi"/>
          <w:color w:val="000000" w:themeColor="text1"/>
        </w:rPr>
        <w:t xml:space="preserve">; </w:t>
      </w:r>
      <w:r w:rsidR="007E4A56" w:rsidRPr="00C07DFC">
        <w:rPr>
          <w:rFonts w:eastAsia="Times New Roman" w:cstheme="minorHAnsi"/>
          <w:color w:val="000000" w:themeColor="text1"/>
        </w:rPr>
        <w:t>Kathryn Guinn, MD</w:t>
      </w:r>
      <w:r w:rsidR="009F6DE6" w:rsidRPr="00C07DFC">
        <w:rPr>
          <w:rFonts w:eastAsia="Times New Roman" w:cstheme="minorHAnsi"/>
          <w:color w:val="000000" w:themeColor="text1"/>
        </w:rPr>
        <w:t>;</w:t>
      </w:r>
      <w:r w:rsidR="00F44905">
        <w:rPr>
          <w:rFonts w:eastAsia="Times New Roman" w:cstheme="minorHAnsi"/>
          <w:color w:val="000000" w:themeColor="text1"/>
        </w:rPr>
        <w:t xml:space="preserve"> Meara Melton, MD;</w:t>
      </w:r>
      <w:r w:rsidR="009F6DE6" w:rsidRPr="00C07DFC">
        <w:rPr>
          <w:rFonts w:eastAsia="Times New Roman" w:cstheme="minorHAnsi"/>
          <w:color w:val="000000" w:themeColor="text1"/>
        </w:rPr>
        <w:t xml:space="preserve"> </w:t>
      </w:r>
      <w:r w:rsidR="00DB0BDD">
        <w:rPr>
          <w:rFonts w:eastAsia="Times New Roman" w:cstheme="minorHAnsi"/>
          <w:color w:val="000000" w:themeColor="text1"/>
        </w:rPr>
        <w:t xml:space="preserve">Brandon Fainstad, MD; </w:t>
      </w:r>
      <w:r w:rsidR="00DB0BDD" w:rsidRPr="00C07DFC">
        <w:rPr>
          <w:rFonts w:eastAsia="Times New Roman" w:cstheme="minorHAnsi"/>
          <w:color w:val="000000" w:themeColor="text1"/>
        </w:rPr>
        <w:t>Yilin Zhang, MD</w:t>
      </w:r>
    </w:p>
    <w:p w14:paraId="7A00132B" w14:textId="77777777" w:rsidR="00896379" w:rsidRPr="00C07DFC" w:rsidRDefault="00896379" w:rsidP="00896379">
      <w:pPr>
        <w:spacing w:after="0" w:line="240" w:lineRule="auto"/>
        <w:contextualSpacing/>
        <w:outlineLvl w:val="1"/>
        <w:rPr>
          <w:rFonts w:eastAsia="Times New Roman" w:cstheme="minorHAnsi"/>
          <w:b/>
          <w:bCs/>
          <w:color w:val="000000"/>
        </w:rPr>
      </w:pPr>
    </w:p>
    <w:p w14:paraId="5C4FB321" w14:textId="77777777" w:rsidR="00896379" w:rsidRPr="00C07DFC" w:rsidRDefault="00BE73DA" w:rsidP="00896379">
      <w:pPr>
        <w:spacing w:after="0" w:line="240" w:lineRule="auto"/>
        <w:contextualSpacing/>
        <w:outlineLvl w:val="1"/>
        <w:rPr>
          <w:rFonts w:eastAsia="Times New Roman" w:cstheme="minorHAnsi"/>
          <w:color w:val="000000" w:themeColor="text1"/>
        </w:rPr>
      </w:pPr>
      <w:r w:rsidRPr="00C07DFC">
        <w:rPr>
          <w:rFonts w:eastAsia="Times New Roman" w:cstheme="minorHAnsi"/>
          <w:b/>
          <w:bCs/>
          <w:color w:val="000000" w:themeColor="text1"/>
        </w:rPr>
        <w:t>Objectives</w:t>
      </w:r>
      <w:r w:rsidRPr="00C07DFC">
        <w:rPr>
          <w:rFonts w:eastAsia="Times New Roman" w:cstheme="minorHAnsi"/>
          <w:color w:val="000000" w:themeColor="text1"/>
        </w:rPr>
        <w:t xml:space="preserve"> </w:t>
      </w:r>
    </w:p>
    <w:p w14:paraId="280F5E15" w14:textId="2072F3AB" w:rsidR="00E84F86" w:rsidRPr="00C07DFC" w:rsidRDefault="00896379" w:rsidP="00E84F86">
      <w:pPr>
        <w:pStyle w:val="ListParagraph"/>
        <w:numPr>
          <w:ilvl w:val="0"/>
          <w:numId w:val="9"/>
        </w:numPr>
        <w:spacing w:after="0" w:line="240" w:lineRule="auto"/>
        <w:outlineLvl w:val="1"/>
        <w:rPr>
          <w:rFonts w:eastAsia="Times New Roman" w:cstheme="minorHAnsi"/>
          <w:color w:val="000000" w:themeColor="text1"/>
        </w:rPr>
      </w:pPr>
      <w:r w:rsidRPr="00C07DFC">
        <w:rPr>
          <w:rFonts w:eastAsia="Times New Roman" w:cstheme="minorHAnsi"/>
          <w:color w:val="000000" w:themeColor="text1"/>
          <w:bdr w:val="none" w:sz="0" w:space="0" w:color="auto" w:frame="1"/>
        </w:rPr>
        <w:t xml:space="preserve">Identify patients who should be screened for </w:t>
      </w:r>
      <w:r w:rsidR="001D3E88" w:rsidRPr="00C07DFC">
        <w:rPr>
          <w:rFonts w:eastAsia="Times New Roman" w:cstheme="minorHAnsi"/>
          <w:color w:val="000000" w:themeColor="text1"/>
          <w:bdr w:val="none" w:sz="0" w:space="0" w:color="auto" w:frame="1"/>
        </w:rPr>
        <w:t xml:space="preserve">type 2 </w:t>
      </w:r>
      <w:r w:rsidRPr="00C07DFC">
        <w:rPr>
          <w:rFonts w:eastAsia="Times New Roman" w:cstheme="minorHAnsi"/>
          <w:color w:val="000000" w:themeColor="text1"/>
          <w:bdr w:val="none" w:sz="0" w:space="0" w:color="auto" w:frame="1"/>
        </w:rPr>
        <w:t>diabetes</w:t>
      </w:r>
      <w:r w:rsidR="00B4384F">
        <w:rPr>
          <w:rFonts w:eastAsia="Times New Roman" w:cstheme="minorHAnsi"/>
          <w:color w:val="000000" w:themeColor="text1"/>
          <w:bdr w:val="none" w:sz="0" w:space="0" w:color="auto" w:frame="1"/>
        </w:rPr>
        <w:t xml:space="preserve"> (T2DM)</w:t>
      </w:r>
    </w:p>
    <w:p w14:paraId="540DF90B" w14:textId="0670BCBB" w:rsidR="00E84F86" w:rsidRPr="00C07DFC" w:rsidRDefault="00B4384F" w:rsidP="00E84F86">
      <w:pPr>
        <w:pStyle w:val="ListParagraph"/>
        <w:numPr>
          <w:ilvl w:val="0"/>
          <w:numId w:val="9"/>
        </w:numPr>
        <w:spacing w:after="0" w:line="240" w:lineRule="auto"/>
        <w:outlineLvl w:val="1"/>
        <w:rPr>
          <w:rFonts w:eastAsia="Times New Roman" w:cstheme="minorHAnsi"/>
          <w:color w:val="000000" w:themeColor="text1"/>
        </w:rPr>
      </w:pPr>
      <w:r>
        <w:rPr>
          <w:rFonts w:eastAsia="Times New Roman" w:cstheme="minorHAnsi"/>
          <w:color w:val="000000" w:themeColor="text1"/>
          <w:bdr w:val="none" w:sz="0" w:space="0" w:color="auto" w:frame="1"/>
        </w:rPr>
        <w:t>Diagnose and screen for</w:t>
      </w:r>
      <w:r w:rsidR="00896379" w:rsidRPr="00C07DFC">
        <w:rPr>
          <w:rFonts w:eastAsia="Times New Roman" w:cstheme="minorHAnsi"/>
          <w:color w:val="000000" w:themeColor="text1"/>
          <w:bdr w:val="none" w:sz="0" w:space="0" w:color="auto" w:frame="1"/>
        </w:rPr>
        <w:t xml:space="preserve"> vascular complications of </w:t>
      </w:r>
      <w:r>
        <w:rPr>
          <w:rFonts w:eastAsia="Times New Roman" w:cstheme="minorHAnsi"/>
          <w:color w:val="000000" w:themeColor="text1"/>
          <w:bdr w:val="none" w:sz="0" w:space="0" w:color="auto" w:frame="1"/>
        </w:rPr>
        <w:t>T2DM</w:t>
      </w:r>
    </w:p>
    <w:p w14:paraId="1D2EBBC7" w14:textId="08CCBB1C" w:rsidR="00E84F86" w:rsidRPr="00C07DFC" w:rsidRDefault="00896379" w:rsidP="00E84F86">
      <w:pPr>
        <w:pStyle w:val="ListParagraph"/>
        <w:numPr>
          <w:ilvl w:val="0"/>
          <w:numId w:val="9"/>
        </w:numPr>
        <w:spacing w:after="0" w:line="240" w:lineRule="auto"/>
        <w:outlineLvl w:val="1"/>
        <w:rPr>
          <w:rFonts w:eastAsia="Times New Roman" w:cstheme="minorHAnsi"/>
          <w:color w:val="000000" w:themeColor="text1"/>
        </w:rPr>
      </w:pPr>
      <w:r w:rsidRPr="00C07DFC">
        <w:rPr>
          <w:rFonts w:eastAsia="Times New Roman" w:cstheme="minorHAnsi"/>
          <w:color w:val="000000" w:themeColor="text1"/>
          <w:bdr w:val="none" w:sz="0" w:space="0" w:color="auto" w:frame="1"/>
        </w:rPr>
        <w:t xml:space="preserve">Determine pharmacologic treatment for patients with </w:t>
      </w:r>
      <w:r w:rsidR="00B4384F">
        <w:rPr>
          <w:rFonts w:eastAsia="Times New Roman" w:cstheme="minorHAnsi"/>
          <w:color w:val="000000" w:themeColor="text1"/>
          <w:bdr w:val="none" w:sz="0" w:space="0" w:color="auto" w:frame="1"/>
        </w:rPr>
        <w:t>T2DM</w:t>
      </w:r>
      <w:r w:rsidRPr="00C07DFC">
        <w:rPr>
          <w:rFonts w:eastAsia="Times New Roman" w:cstheme="minorHAnsi"/>
          <w:color w:val="000000" w:themeColor="text1"/>
          <w:bdr w:val="none" w:sz="0" w:space="0" w:color="auto" w:frame="1"/>
        </w:rPr>
        <w:t xml:space="preserve"> </w:t>
      </w:r>
      <w:r w:rsidR="00624DE0" w:rsidRPr="00C07DFC">
        <w:rPr>
          <w:rFonts w:eastAsia="Times New Roman" w:cstheme="minorHAnsi"/>
          <w:color w:val="000000" w:themeColor="text1"/>
          <w:bdr w:val="none" w:sz="0" w:space="0" w:color="auto" w:frame="1"/>
        </w:rPr>
        <w:t xml:space="preserve">based on comorbidities </w:t>
      </w:r>
    </w:p>
    <w:p w14:paraId="39C250BB" w14:textId="77777777" w:rsidR="00307A15" w:rsidRPr="00C07DFC" w:rsidRDefault="00307A15" w:rsidP="00307A15">
      <w:pPr>
        <w:spacing w:after="0" w:line="240" w:lineRule="auto"/>
        <w:outlineLvl w:val="1"/>
        <w:rPr>
          <w:rFonts w:eastAsia="Times New Roman" w:cstheme="minorHAnsi"/>
        </w:rPr>
      </w:pPr>
    </w:p>
    <w:p w14:paraId="33D617E6" w14:textId="0443773B" w:rsidR="000110C6" w:rsidRPr="00C07DFC" w:rsidRDefault="00BE73DA" w:rsidP="00BE73DA">
      <w:pPr>
        <w:spacing w:after="0" w:line="240" w:lineRule="auto"/>
        <w:contextualSpacing/>
        <w:rPr>
          <w:rFonts w:eastAsia="Times New Roman" w:cstheme="minorHAnsi"/>
          <w:b/>
          <w:bCs/>
        </w:rPr>
      </w:pPr>
      <w:r w:rsidRPr="00C07DFC">
        <w:rPr>
          <w:rFonts w:eastAsia="Times New Roman" w:cstheme="minorHAnsi"/>
          <w:b/>
          <w:bCs/>
        </w:rPr>
        <w:t>Teaching Instructions</w:t>
      </w:r>
      <w:r w:rsidR="006B4CF6" w:rsidRPr="00C07DFC">
        <w:rPr>
          <w:rFonts w:eastAsia="Times New Roman" w:cstheme="minorHAnsi"/>
          <w:b/>
          <w:bCs/>
        </w:rPr>
        <w:t>:</w:t>
      </w:r>
      <w:r w:rsidR="009C19DC" w:rsidRPr="00C07DFC">
        <w:rPr>
          <w:rFonts w:eastAsia="Times New Roman" w:cstheme="minorHAnsi"/>
          <w:b/>
          <w:bCs/>
        </w:rPr>
        <w:t xml:space="preserve"> </w:t>
      </w:r>
    </w:p>
    <w:p w14:paraId="2142839F" w14:textId="3F4FC901" w:rsidR="00734B2B" w:rsidRPr="005952DF" w:rsidRDefault="00734B2B" w:rsidP="00734B2B">
      <w:pPr>
        <w:pStyle w:val="NormalWeb"/>
        <w:shd w:val="clear" w:color="auto" w:fill="FEFEFE"/>
        <w:spacing w:before="0" w:beforeAutospacing="0"/>
        <w:rPr>
          <w:rFonts w:asciiTheme="minorHAnsi" w:hAnsiTheme="minorHAnsi" w:cstheme="minorHAnsi"/>
          <w:spacing w:val="4"/>
          <w:sz w:val="22"/>
          <w:szCs w:val="22"/>
        </w:rPr>
      </w:pPr>
      <w:r w:rsidRPr="005952DF">
        <w:rPr>
          <w:rFonts w:asciiTheme="minorHAnsi" w:hAnsiTheme="minorHAnsi" w:cstheme="minorHAnsi"/>
          <w:spacing w:val="4"/>
          <w:sz w:val="22"/>
          <w:szCs w:val="22"/>
        </w:rPr>
        <w:t>Plan to spend at least 30-60 minutes preparing for this talk by using the Interactive Board for Learning/Preparing and clicking through the graphics animations to become familiar with the flow and content of the talk. Print out copies of the Learner’s Handout so learners can take notes as you expand on the pathophysiology and management. The first page of the handout is a blank schematic that learners can fill in as you go through the presentation.</w:t>
      </w:r>
    </w:p>
    <w:p w14:paraId="0FC03086" w14:textId="7F16BFB1" w:rsidR="00734B2B" w:rsidRPr="005952DF" w:rsidRDefault="00734B2B" w:rsidP="00734B2B">
      <w:pPr>
        <w:shd w:val="clear" w:color="auto" w:fill="FEFEFE"/>
        <w:spacing w:after="100" w:afterAutospacing="1" w:line="240" w:lineRule="auto"/>
        <w:rPr>
          <w:rFonts w:eastAsia="Times New Roman" w:cstheme="minorHAnsi"/>
          <w:spacing w:val="4"/>
        </w:rPr>
      </w:pPr>
      <w:r w:rsidRPr="005952DF">
        <w:rPr>
          <w:rFonts w:eastAsia="Times New Roman" w:cstheme="minorHAnsi"/>
          <w:spacing w:val="4"/>
        </w:rPr>
        <w:t>The anticipated time to deliver this talk is about </w:t>
      </w:r>
      <w:r w:rsidRPr="005952DF">
        <w:rPr>
          <w:rFonts w:eastAsia="Times New Roman" w:cstheme="minorHAnsi"/>
          <w:b/>
          <w:bCs/>
          <w:spacing w:val="4"/>
        </w:rPr>
        <w:t>20 min without cases and 3</w:t>
      </w:r>
      <w:r w:rsidR="00C07DFC" w:rsidRPr="005952DF">
        <w:rPr>
          <w:rFonts w:eastAsia="Times New Roman" w:cstheme="minorHAnsi"/>
          <w:b/>
          <w:bCs/>
          <w:spacing w:val="4"/>
        </w:rPr>
        <w:t>5</w:t>
      </w:r>
      <w:r w:rsidRPr="005952DF">
        <w:rPr>
          <w:rFonts w:eastAsia="Times New Roman" w:cstheme="minorHAnsi"/>
          <w:b/>
          <w:bCs/>
          <w:spacing w:val="4"/>
        </w:rPr>
        <w:t>-</w:t>
      </w:r>
      <w:r w:rsidR="00C07DFC" w:rsidRPr="005952DF">
        <w:rPr>
          <w:rFonts w:eastAsia="Times New Roman" w:cstheme="minorHAnsi"/>
          <w:b/>
          <w:bCs/>
          <w:spacing w:val="4"/>
        </w:rPr>
        <w:t>40</w:t>
      </w:r>
      <w:r w:rsidRPr="005952DF">
        <w:rPr>
          <w:rFonts w:eastAsia="Times New Roman" w:cstheme="minorHAnsi"/>
          <w:b/>
          <w:bCs/>
          <w:spacing w:val="4"/>
        </w:rPr>
        <w:t xml:space="preserve"> min with cases</w:t>
      </w:r>
      <w:r w:rsidRPr="005952DF">
        <w:rPr>
          <w:rFonts w:eastAsia="Times New Roman" w:cstheme="minorHAnsi"/>
          <w:spacing w:val="4"/>
        </w:rPr>
        <w:t xml:space="preserve">. </w:t>
      </w:r>
      <w:r w:rsidR="00C07DFC" w:rsidRPr="005952DF">
        <w:rPr>
          <w:rFonts w:eastAsia="Times New Roman" w:cstheme="minorHAnsi"/>
          <w:spacing w:val="4"/>
        </w:rPr>
        <w:t xml:space="preserve">This </w:t>
      </w:r>
      <w:r w:rsidR="00565BC9" w:rsidRPr="005952DF">
        <w:rPr>
          <w:rFonts w:eastAsia="Times New Roman" w:cstheme="minorHAnsi"/>
          <w:spacing w:val="4"/>
        </w:rPr>
        <w:t xml:space="preserve">talk only focuses on the diagnosis and management of type 2 diabetes mellitus (T2DM). Type 1 diabetes mellitus is outside the scope of this presentation and is covered separately. </w:t>
      </w:r>
    </w:p>
    <w:p w14:paraId="76115F43" w14:textId="4DC9ABF5" w:rsidR="0006406C" w:rsidRPr="005952DF" w:rsidRDefault="00734B2B" w:rsidP="00BE73DA">
      <w:pPr>
        <w:spacing w:after="0" w:line="240" w:lineRule="auto"/>
        <w:contextualSpacing/>
        <w:rPr>
          <w:rFonts w:eastAsia="Times New Roman" w:cstheme="minorHAnsi"/>
          <w:spacing w:val="4"/>
        </w:rPr>
      </w:pPr>
      <w:r w:rsidRPr="005952DF">
        <w:rPr>
          <w:rFonts w:eastAsia="Times New Roman" w:cstheme="minorHAnsi"/>
          <w:spacing w:val="4"/>
        </w:rPr>
        <w:t xml:space="preserve">Begin with reviewing the objectives for the session. We recommend progressing in order, though this gives you the flexibility of doing more focused teaching. All clickable </w:t>
      </w:r>
      <w:r w:rsidR="00434567" w:rsidRPr="005952DF">
        <w:rPr>
          <w:rFonts w:eastAsia="Times New Roman" w:cstheme="minorHAnsi"/>
          <w:spacing w:val="4"/>
        </w:rPr>
        <w:t>buttons/</w:t>
      </w:r>
      <w:r w:rsidRPr="005952DF">
        <w:rPr>
          <w:rFonts w:eastAsia="Times New Roman" w:cstheme="minorHAnsi"/>
          <w:spacing w:val="4"/>
        </w:rPr>
        <w:t xml:space="preserve">elements are indicated by </w:t>
      </w:r>
      <w:r w:rsidR="00C07DFC" w:rsidRPr="005952DF">
        <w:rPr>
          <w:rFonts w:eastAsia="Times New Roman" w:cstheme="minorHAnsi"/>
          <w:spacing w:val="4"/>
        </w:rPr>
        <w:t>a cursor icon.</w:t>
      </w:r>
      <w:r w:rsidR="00434567" w:rsidRPr="005952DF">
        <w:rPr>
          <w:rFonts w:eastAsia="Times New Roman" w:cstheme="minorHAnsi"/>
          <w:spacing w:val="4"/>
        </w:rPr>
        <w:t xml:space="preserve"> Each button can act as a prompt for you to engage your learners. </w:t>
      </w:r>
    </w:p>
    <w:p w14:paraId="4CD6B7EF" w14:textId="645B352C" w:rsidR="00044AF2" w:rsidRDefault="00044AF2" w:rsidP="00BE73DA">
      <w:pPr>
        <w:spacing w:after="0" w:line="240" w:lineRule="auto"/>
        <w:contextualSpacing/>
        <w:rPr>
          <w:rFonts w:eastAsia="Times New Roman" w:cstheme="minorHAnsi"/>
          <w:color w:val="808080"/>
          <w:spacing w:val="4"/>
        </w:rPr>
      </w:pPr>
    </w:p>
    <w:p w14:paraId="46EA725A" w14:textId="72DF086C" w:rsidR="00E84F86" w:rsidRPr="00C07DFC" w:rsidRDefault="00E84F86" w:rsidP="00BE73DA">
      <w:pPr>
        <w:spacing w:after="0" w:line="240" w:lineRule="auto"/>
        <w:contextualSpacing/>
        <w:rPr>
          <w:rFonts w:eastAsia="Times New Roman" w:cstheme="minorHAnsi"/>
          <w:b/>
          <w:bCs/>
        </w:rPr>
      </w:pPr>
      <w:r w:rsidRPr="00C07DFC">
        <w:rPr>
          <w:rFonts w:eastAsia="Times New Roman" w:cstheme="minorHAnsi"/>
          <w:b/>
          <w:bCs/>
          <w:u w:val="single"/>
        </w:rPr>
        <w:t>Objective 1</w:t>
      </w:r>
      <w:r w:rsidRPr="004B235B">
        <w:rPr>
          <w:rFonts w:eastAsia="Times New Roman" w:cstheme="minorHAnsi"/>
          <w:b/>
          <w:bCs/>
        </w:rPr>
        <w:t xml:space="preserve">: </w:t>
      </w:r>
      <w:r w:rsidRPr="00C07DFC">
        <w:rPr>
          <w:rFonts w:eastAsia="Times New Roman" w:cstheme="minorHAnsi"/>
          <w:b/>
          <w:bCs/>
          <w:i/>
          <w:iCs/>
        </w:rPr>
        <w:t>Identify patients who should be screened for diabetes:</w:t>
      </w:r>
      <w:r w:rsidR="009F6DE6" w:rsidRPr="00C07DFC">
        <w:rPr>
          <w:rFonts w:eastAsia="Times New Roman" w:cstheme="minorHAnsi"/>
          <w:b/>
          <w:bCs/>
          <w:i/>
          <w:iCs/>
        </w:rPr>
        <w:t xml:space="preserve"> </w:t>
      </w:r>
      <w:r w:rsidR="009F6DE6" w:rsidRPr="00C07DFC">
        <w:rPr>
          <w:rFonts w:eastAsia="Times New Roman" w:cstheme="minorHAnsi"/>
          <w:b/>
          <w:bCs/>
        </w:rPr>
        <w:t>(</w:t>
      </w:r>
      <w:r w:rsidR="00565BC9">
        <w:rPr>
          <w:rFonts w:eastAsia="Times New Roman" w:cstheme="minorHAnsi"/>
          <w:b/>
          <w:bCs/>
        </w:rPr>
        <w:t>Diagnosis and Screening</w:t>
      </w:r>
      <w:r w:rsidR="009F6DE6" w:rsidRPr="00C07DFC">
        <w:rPr>
          <w:rFonts w:eastAsia="Times New Roman" w:cstheme="minorHAnsi"/>
          <w:b/>
          <w:bCs/>
        </w:rPr>
        <w:t>)</w:t>
      </w:r>
    </w:p>
    <w:p w14:paraId="0FE1C8EC" w14:textId="77777777" w:rsidR="007D7DC9" w:rsidRDefault="007D7DC9" w:rsidP="007D7DC9">
      <w:pPr>
        <w:pStyle w:val="ListParagraph"/>
        <w:numPr>
          <w:ilvl w:val="0"/>
          <w:numId w:val="27"/>
        </w:numPr>
        <w:spacing w:after="0" w:line="240" w:lineRule="auto"/>
        <w:rPr>
          <w:rFonts w:eastAsia="Times New Roman" w:cstheme="minorHAnsi"/>
        </w:rPr>
      </w:pPr>
      <w:r w:rsidRPr="007D7DC9">
        <w:rPr>
          <w:rFonts w:eastAsia="Times New Roman" w:cstheme="minorHAnsi"/>
          <w:i/>
          <w:iCs/>
          <w:u w:val="single"/>
        </w:rPr>
        <w:t>Diagnosis</w:t>
      </w:r>
      <w:r>
        <w:rPr>
          <w:rFonts w:eastAsia="Times New Roman" w:cstheme="minorHAnsi"/>
        </w:rPr>
        <w:t xml:space="preserve">: </w:t>
      </w:r>
      <w:r w:rsidR="00734B2B" w:rsidRPr="007D7DC9">
        <w:rPr>
          <w:rFonts w:eastAsia="Times New Roman" w:cstheme="minorHAnsi"/>
        </w:rPr>
        <w:t>The first step in the</w:t>
      </w:r>
      <w:r w:rsidR="00565BC9" w:rsidRPr="007D7DC9">
        <w:rPr>
          <w:rFonts w:eastAsia="Times New Roman" w:cstheme="minorHAnsi"/>
        </w:rPr>
        <w:t xml:space="preserve"> screening and</w:t>
      </w:r>
      <w:r w:rsidR="00734B2B" w:rsidRPr="007D7DC9">
        <w:rPr>
          <w:rFonts w:eastAsia="Times New Roman" w:cstheme="minorHAnsi"/>
        </w:rPr>
        <w:t xml:space="preserve"> diagnosis of type 2 diabetes (</w:t>
      </w:r>
      <w:r w:rsidR="00565BC9" w:rsidRPr="007D7DC9">
        <w:rPr>
          <w:rFonts w:eastAsia="Times New Roman" w:cstheme="minorHAnsi"/>
        </w:rPr>
        <w:t>T2</w:t>
      </w:r>
      <w:r w:rsidR="00734B2B" w:rsidRPr="007D7DC9">
        <w:rPr>
          <w:rFonts w:eastAsia="Times New Roman" w:cstheme="minorHAnsi"/>
        </w:rPr>
        <w:t xml:space="preserve">DM) is </w:t>
      </w:r>
      <w:r w:rsidR="00C07DFC" w:rsidRPr="007D7DC9">
        <w:rPr>
          <w:rFonts w:eastAsia="Times New Roman" w:cstheme="minorHAnsi"/>
        </w:rPr>
        <w:t xml:space="preserve">identifying whether patients may have symptoms of diabetes. Challenge your learners to list some common symptoms of diabetes. </w:t>
      </w:r>
      <w:r w:rsidR="00C07DFC" w:rsidRPr="007D7DC9">
        <w:rPr>
          <w:rFonts w:eastAsia="Times New Roman" w:cstheme="minorHAnsi"/>
          <w:i/>
          <w:iCs/>
        </w:rPr>
        <w:t>Click</w:t>
      </w:r>
      <w:r w:rsidR="00C07DFC" w:rsidRPr="007D7DC9">
        <w:rPr>
          <w:rFonts w:eastAsia="Times New Roman" w:cstheme="minorHAnsi"/>
        </w:rPr>
        <w:t xml:space="preserve"> </w:t>
      </w:r>
      <w:r w:rsidR="00C07DFC" w:rsidRPr="007D7DC9">
        <w:rPr>
          <w:rFonts w:eastAsia="Times New Roman" w:cstheme="minorHAnsi"/>
          <w:i/>
          <w:iCs/>
        </w:rPr>
        <w:t>on the “Diagnosis” and then “Symptoms” buttons to reveal the answer.</w:t>
      </w:r>
      <w:r w:rsidR="00C07DFC" w:rsidRPr="007D7DC9">
        <w:rPr>
          <w:rFonts w:eastAsia="Times New Roman" w:cstheme="minorHAnsi"/>
        </w:rPr>
        <w:t xml:space="preserve"> </w:t>
      </w:r>
    </w:p>
    <w:p w14:paraId="4E91A753" w14:textId="77777777" w:rsidR="007D7DC9" w:rsidRDefault="00C07DFC" w:rsidP="00681814">
      <w:pPr>
        <w:pStyle w:val="ListParagraph"/>
        <w:numPr>
          <w:ilvl w:val="1"/>
          <w:numId w:val="27"/>
        </w:numPr>
        <w:spacing w:after="0" w:line="240" w:lineRule="auto"/>
        <w:rPr>
          <w:rFonts w:eastAsia="Times New Roman" w:cstheme="minorHAnsi"/>
        </w:rPr>
      </w:pPr>
      <w:r w:rsidRPr="007D7DC9">
        <w:rPr>
          <w:rFonts w:eastAsia="Times New Roman" w:cstheme="minorHAnsi"/>
        </w:rPr>
        <w:t xml:space="preserve">Common symptoms of </w:t>
      </w:r>
      <w:r w:rsidR="00565BC9" w:rsidRPr="007D7DC9">
        <w:rPr>
          <w:rFonts w:eastAsia="Times New Roman" w:cstheme="minorHAnsi"/>
        </w:rPr>
        <w:t>T2</w:t>
      </w:r>
      <w:r w:rsidRPr="007D7DC9">
        <w:rPr>
          <w:rFonts w:eastAsia="Times New Roman" w:cstheme="minorHAnsi"/>
        </w:rPr>
        <w:t xml:space="preserve">DM include </w:t>
      </w:r>
      <w:r w:rsidR="00565BC9" w:rsidRPr="007D7DC9">
        <w:rPr>
          <w:rFonts w:eastAsia="Times New Roman" w:cstheme="minorHAnsi"/>
        </w:rPr>
        <w:t>polydipsia, polyuria, weight loss, and blurry vision. Some physical exam findings</w:t>
      </w:r>
      <w:r w:rsidR="00681814" w:rsidRPr="007D7DC9">
        <w:rPr>
          <w:rFonts w:eastAsia="Times New Roman" w:cstheme="minorHAnsi"/>
        </w:rPr>
        <w:t xml:space="preserve">, such as acanthosis nigricans, are also suggestive of T2DM. </w:t>
      </w:r>
      <w:r w:rsidR="00565BC9" w:rsidRPr="007D7DC9">
        <w:rPr>
          <w:rFonts w:eastAsia="Times New Roman" w:cstheme="minorHAnsi"/>
        </w:rPr>
        <w:t xml:space="preserve">Patients who have symptoms consistent with diabetes should receive a HbA1c test and/or blood glucose testing. </w:t>
      </w:r>
    </w:p>
    <w:p w14:paraId="415E1769" w14:textId="56712B29" w:rsidR="00681814" w:rsidRPr="007D7DC9" w:rsidRDefault="00681814" w:rsidP="00681814">
      <w:pPr>
        <w:pStyle w:val="ListParagraph"/>
        <w:numPr>
          <w:ilvl w:val="1"/>
          <w:numId w:val="27"/>
        </w:numPr>
        <w:spacing w:after="0" w:line="240" w:lineRule="auto"/>
        <w:rPr>
          <w:rFonts w:eastAsia="Times New Roman" w:cstheme="minorHAnsi"/>
        </w:rPr>
      </w:pPr>
      <w:r w:rsidRPr="007D7DC9">
        <w:rPr>
          <w:rFonts w:eastAsia="Times New Roman" w:cstheme="minorHAnsi"/>
        </w:rPr>
        <w:t>The diagnosis of DM can be made based on the following criteria:</w:t>
      </w:r>
    </w:p>
    <w:p w14:paraId="108ED743" w14:textId="34EB6165" w:rsidR="00681814" w:rsidRDefault="00681814" w:rsidP="007D7DC9">
      <w:pPr>
        <w:pStyle w:val="ListParagraph"/>
        <w:numPr>
          <w:ilvl w:val="0"/>
          <w:numId w:val="24"/>
        </w:numPr>
        <w:spacing w:after="0" w:line="240" w:lineRule="auto"/>
        <w:ind w:left="1800"/>
        <w:rPr>
          <w:rFonts w:eastAsia="Times New Roman" w:cstheme="minorHAnsi"/>
        </w:rPr>
      </w:pPr>
      <w:r w:rsidRPr="00681814">
        <w:rPr>
          <w:rFonts w:eastAsia="Times New Roman" w:cstheme="minorHAnsi"/>
        </w:rPr>
        <w:t>Random blood glucose (BG) &gt; 200 mg/dL with hyperglycemic crisis or symptoms of hyperglycemia</w:t>
      </w:r>
      <w:r w:rsidR="00044AF2">
        <w:rPr>
          <w:rFonts w:eastAsia="Times New Roman" w:cstheme="minorHAnsi"/>
        </w:rPr>
        <w:t xml:space="preserve">. </w:t>
      </w:r>
    </w:p>
    <w:p w14:paraId="531E3ABF" w14:textId="56E497E9" w:rsidR="00681814" w:rsidRPr="00681814" w:rsidRDefault="00681814" w:rsidP="007D7DC9">
      <w:pPr>
        <w:pStyle w:val="ListParagraph"/>
        <w:numPr>
          <w:ilvl w:val="0"/>
          <w:numId w:val="24"/>
        </w:numPr>
        <w:spacing w:after="0" w:line="240" w:lineRule="auto"/>
        <w:ind w:left="1800"/>
        <w:rPr>
          <w:rFonts w:eastAsia="Times New Roman" w:cstheme="minorHAnsi"/>
        </w:rPr>
      </w:pPr>
      <w:r>
        <w:rPr>
          <w:rFonts w:eastAsia="Times New Roman" w:cstheme="minorHAnsi"/>
        </w:rPr>
        <w:t>In patients who are asymptomatic</w:t>
      </w:r>
    </w:p>
    <w:p w14:paraId="2E9D6AB1" w14:textId="238D9795" w:rsidR="00FB0D08" w:rsidRPr="00C07DFC" w:rsidRDefault="00FB0D08" w:rsidP="007D7DC9">
      <w:pPr>
        <w:pStyle w:val="ListParagraph"/>
        <w:numPr>
          <w:ilvl w:val="0"/>
          <w:numId w:val="21"/>
        </w:numPr>
        <w:spacing w:after="0" w:line="240" w:lineRule="auto"/>
        <w:ind w:left="2520"/>
        <w:rPr>
          <w:rFonts w:eastAsia="Times New Roman" w:cstheme="minorHAnsi"/>
        </w:rPr>
      </w:pPr>
      <w:r w:rsidRPr="00C07DFC">
        <w:rPr>
          <w:rFonts w:eastAsia="Times New Roman" w:cstheme="minorHAnsi"/>
        </w:rPr>
        <w:t>Hemoglobin A1C</w:t>
      </w:r>
      <w:r w:rsidR="00535AAA" w:rsidRPr="00C07DFC">
        <w:rPr>
          <w:rFonts w:eastAsia="Times New Roman" w:cstheme="minorHAnsi"/>
        </w:rPr>
        <w:t xml:space="preserve"> (HbA1C)</w:t>
      </w:r>
      <w:r w:rsidRPr="00C07DFC">
        <w:rPr>
          <w:rFonts w:eastAsia="Times New Roman" w:cstheme="minorHAnsi"/>
        </w:rPr>
        <w:t xml:space="preserve"> &gt;6.5%</w:t>
      </w:r>
      <w:r w:rsidR="00535AAA" w:rsidRPr="00C07DFC">
        <w:rPr>
          <w:rFonts w:eastAsia="Times New Roman" w:cstheme="minorHAnsi"/>
        </w:rPr>
        <w:t xml:space="preserve">. </w:t>
      </w:r>
    </w:p>
    <w:p w14:paraId="488BA849" w14:textId="7A6F18BD" w:rsidR="00FB0D08" w:rsidRPr="00C07DFC" w:rsidRDefault="00FB0D08" w:rsidP="007D7DC9">
      <w:pPr>
        <w:pStyle w:val="ListParagraph"/>
        <w:numPr>
          <w:ilvl w:val="0"/>
          <w:numId w:val="21"/>
        </w:numPr>
        <w:spacing w:after="0" w:line="240" w:lineRule="auto"/>
        <w:ind w:left="2520"/>
        <w:rPr>
          <w:rFonts w:eastAsia="Times New Roman" w:cstheme="minorHAnsi"/>
        </w:rPr>
      </w:pPr>
      <w:r w:rsidRPr="00C07DFC">
        <w:rPr>
          <w:rFonts w:eastAsia="Times New Roman" w:cstheme="minorHAnsi"/>
        </w:rPr>
        <w:t>Fasting blood glucose (</w:t>
      </w:r>
      <w:r w:rsidR="00535AAA" w:rsidRPr="00C07DFC">
        <w:rPr>
          <w:rFonts w:eastAsia="Times New Roman" w:cstheme="minorHAnsi"/>
        </w:rPr>
        <w:t>F</w:t>
      </w:r>
      <w:r w:rsidRPr="00C07DFC">
        <w:rPr>
          <w:rFonts w:eastAsia="Times New Roman" w:cstheme="minorHAnsi"/>
        </w:rPr>
        <w:t>BG) &gt; 125 mg/dL. Fasting is defined as no caloric intake for 8 h.</w:t>
      </w:r>
    </w:p>
    <w:p w14:paraId="62C29FCD" w14:textId="3D0304F4" w:rsidR="00681814" w:rsidRDefault="00FB0D08" w:rsidP="007D7DC9">
      <w:pPr>
        <w:pStyle w:val="ListParagraph"/>
        <w:numPr>
          <w:ilvl w:val="0"/>
          <w:numId w:val="21"/>
        </w:numPr>
        <w:spacing w:after="0" w:line="240" w:lineRule="auto"/>
        <w:ind w:left="2520"/>
        <w:rPr>
          <w:rFonts w:eastAsia="Times New Roman" w:cstheme="minorHAnsi"/>
        </w:rPr>
      </w:pPr>
      <w:r w:rsidRPr="00681814">
        <w:rPr>
          <w:rFonts w:eastAsia="Times New Roman" w:cstheme="minorHAnsi"/>
        </w:rPr>
        <w:t>Additional diagnostic criteri</w:t>
      </w:r>
      <w:r w:rsidR="00535AAA" w:rsidRPr="00681814">
        <w:rPr>
          <w:rFonts w:eastAsia="Times New Roman" w:cstheme="minorHAnsi"/>
        </w:rPr>
        <w:t>um</w:t>
      </w:r>
      <w:r w:rsidRPr="00681814">
        <w:rPr>
          <w:rFonts w:eastAsia="Times New Roman" w:cstheme="minorHAnsi"/>
        </w:rPr>
        <w:t xml:space="preserve"> is a 2-h blood glucose of &gt; 200 mg/dL during a 75 g oral glucose tolerance test (OGTT).</w:t>
      </w:r>
      <w:r w:rsidR="00535AAA" w:rsidRPr="00681814">
        <w:rPr>
          <w:rFonts w:eastAsia="Times New Roman" w:cstheme="minorHAnsi"/>
        </w:rPr>
        <w:t xml:space="preserve"> This test is typically only ordered in pregnant/OB patients and not discussed in detail here.</w:t>
      </w:r>
      <w:r w:rsidRPr="00681814">
        <w:rPr>
          <w:rFonts w:eastAsia="Times New Roman" w:cstheme="minorHAnsi"/>
        </w:rPr>
        <w:t xml:space="preserve"> </w:t>
      </w:r>
    </w:p>
    <w:p w14:paraId="5985ED32" w14:textId="77777777" w:rsidR="007D7DC9" w:rsidRDefault="00FB0D08" w:rsidP="00734B2B">
      <w:pPr>
        <w:pStyle w:val="ListParagraph"/>
        <w:numPr>
          <w:ilvl w:val="1"/>
          <w:numId w:val="24"/>
        </w:numPr>
        <w:spacing w:after="0" w:line="240" w:lineRule="auto"/>
        <w:rPr>
          <w:rFonts w:eastAsia="Times New Roman" w:cstheme="minorHAnsi"/>
        </w:rPr>
      </w:pPr>
      <w:r w:rsidRPr="00681814">
        <w:rPr>
          <w:rFonts w:eastAsia="Times New Roman" w:cstheme="minorHAnsi"/>
        </w:rPr>
        <w:t>In patients without symptoms of hyperglycemia, diagnosis of diabetes should be confirmed with a repeat measurement (e.g., fasting BG &gt; 125 on 2 occas</w:t>
      </w:r>
      <w:r w:rsidR="00535AAA" w:rsidRPr="00681814">
        <w:rPr>
          <w:rFonts w:eastAsia="Times New Roman" w:cstheme="minorHAnsi"/>
        </w:rPr>
        <w:t xml:space="preserve">ions) or confirmed with another method (e.g., HbA1C and FBG). BONUS: HbA1C is affected by a variety of factors that affect RBC turnover. When RBC turnover is low (e.g., B12 or folate deficiency, there are a disproportionate number of older, glycosylated RBCs and HbA1C is falsely elevated. When RBC turnover is high, </w:t>
      </w:r>
      <w:r w:rsidR="00E10ED4" w:rsidRPr="00681814">
        <w:rPr>
          <w:rFonts w:eastAsia="Times New Roman" w:cstheme="minorHAnsi"/>
        </w:rPr>
        <w:t xml:space="preserve">such as with hemolysis treatment with erythropoietin or B12/folate, HbA1C is falsely low. </w:t>
      </w:r>
    </w:p>
    <w:p w14:paraId="2D8D0A5C" w14:textId="77777777" w:rsidR="004707A4" w:rsidRPr="004707A4" w:rsidRDefault="007D7DC9" w:rsidP="007D7DC9">
      <w:pPr>
        <w:pStyle w:val="ListParagraph"/>
        <w:numPr>
          <w:ilvl w:val="0"/>
          <w:numId w:val="24"/>
        </w:numPr>
        <w:spacing w:after="0" w:line="240" w:lineRule="auto"/>
        <w:rPr>
          <w:rFonts w:eastAsia="Times New Roman" w:cstheme="minorHAnsi"/>
        </w:rPr>
      </w:pPr>
      <w:r w:rsidRPr="007D7DC9">
        <w:rPr>
          <w:rFonts w:eastAsia="Times New Roman" w:cstheme="minorHAnsi"/>
          <w:i/>
          <w:iCs/>
          <w:u w:val="single"/>
        </w:rPr>
        <w:t>Screening</w:t>
      </w:r>
      <w:r>
        <w:rPr>
          <w:rFonts w:eastAsia="Times New Roman" w:cstheme="minorHAnsi"/>
        </w:rPr>
        <w:t xml:space="preserve">: </w:t>
      </w:r>
      <w:r w:rsidR="00B55BF7" w:rsidRPr="007D7DC9">
        <w:rPr>
          <w:rFonts w:cstheme="minorHAnsi"/>
        </w:rPr>
        <w:t xml:space="preserve">Ask your learners which patients without symptoms of hyperglycemia should be screened for T2DM. </w:t>
      </w:r>
      <w:r w:rsidR="00B55BF7" w:rsidRPr="007D7DC9">
        <w:rPr>
          <w:rFonts w:cstheme="minorHAnsi"/>
          <w:i/>
          <w:iCs/>
        </w:rPr>
        <w:t>Click on the “Screening”</w:t>
      </w:r>
      <w:r w:rsidR="006B4CF6" w:rsidRPr="007D7DC9">
        <w:rPr>
          <w:rFonts w:cstheme="minorHAnsi"/>
          <w:i/>
          <w:iCs/>
        </w:rPr>
        <w:t xml:space="preserve"> button</w:t>
      </w:r>
      <w:r w:rsidR="00B55BF7" w:rsidRPr="007D7DC9">
        <w:rPr>
          <w:rFonts w:cstheme="minorHAnsi"/>
          <w:i/>
          <w:iCs/>
        </w:rPr>
        <w:t xml:space="preserve"> to reveal the answers.</w:t>
      </w:r>
      <w:r w:rsidR="00B55BF7" w:rsidRPr="007D7DC9">
        <w:rPr>
          <w:rFonts w:cstheme="minorHAnsi"/>
        </w:rPr>
        <w:t xml:space="preserve"> </w:t>
      </w:r>
    </w:p>
    <w:p w14:paraId="3FF88553" w14:textId="77777777" w:rsidR="004707A4" w:rsidRPr="004707A4" w:rsidRDefault="00B55BF7" w:rsidP="004707A4">
      <w:pPr>
        <w:pStyle w:val="ListParagraph"/>
        <w:numPr>
          <w:ilvl w:val="1"/>
          <w:numId w:val="24"/>
        </w:numPr>
        <w:spacing w:after="0" w:line="240" w:lineRule="auto"/>
        <w:rPr>
          <w:rFonts w:eastAsia="Times New Roman" w:cstheme="minorHAnsi"/>
        </w:rPr>
      </w:pPr>
      <w:r w:rsidRPr="007D7DC9">
        <w:rPr>
          <w:rFonts w:cstheme="minorHAnsi"/>
        </w:rPr>
        <w:t xml:space="preserve">Patients with obesity (BMI &gt; 25) should only be screened for T2DM if they have at least one additional risk factor for T2DM such as </w:t>
      </w:r>
      <w:r w:rsidR="004B235B" w:rsidRPr="007D7DC9">
        <w:rPr>
          <w:rFonts w:cstheme="minorHAnsi"/>
        </w:rPr>
        <w:t>high-risk</w:t>
      </w:r>
      <w:r w:rsidRPr="007D7DC9">
        <w:rPr>
          <w:rFonts w:cstheme="minorHAnsi"/>
        </w:rPr>
        <w:t xml:space="preserve"> ethnicity (Asian American, Pacific Islander, African American, Latino); polycystic ovary syndrome, 1</w:t>
      </w:r>
      <w:r w:rsidRPr="007D7DC9">
        <w:rPr>
          <w:rFonts w:cstheme="minorHAnsi"/>
          <w:vertAlign w:val="superscript"/>
        </w:rPr>
        <w:t>st</w:t>
      </w:r>
      <w:r w:rsidRPr="007D7DC9">
        <w:rPr>
          <w:rFonts w:cstheme="minorHAnsi"/>
        </w:rPr>
        <w:t xml:space="preserve"> degree relative with T2DM, hypertension; hyperlipidemia; cardiovascular disease; or physical inactivity. </w:t>
      </w:r>
    </w:p>
    <w:p w14:paraId="7E7F6D32" w14:textId="77777777" w:rsidR="004707A4" w:rsidRPr="004707A4" w:rsidRDefault="00B55BF7" w:rsidP="004707A4">
      <w:pPr>
        <w:pStyle w:val="ListParagraph"/>
        <w:numPr>
          <w:ilvl w:val="2"/>
          <w:numId w:val="24"/>
        </w:numPr>
        <w:spacing w:after="0" w:line="240" w:lineRule="auto"/>
        <w:rPr>
          <w:rFonts w:eastAsia="Times New Roman" w:cstheme="minorHAnsi"/>
        </w:rPr>
      </w:pPr>
      <w:r w:rsidRPr="007D7DC9">
        <w:rPr>
          <w:rFonts w:cstheme="minorHAnsi"/>
        </w:rPr>
        <w:t>Of note, the BMI cut off for Asian Americans is 23</w:t>
      </w:r>
      <w:r w:rsidR="00F724EC" w:rsidRPr="007D7DC9">
        <w:rPr>
          <w:rFonts w:cstheme="minorHAnsi"/>
        </w:rPr>
        <w:t xml:space="preserve"> because they experience complications of metabolic syndrome at lower BMIs</w:t>
      </w:r>
      <w:r w:rsidRPr="007D7DC9">
        <w:rPr>
          <w:rFonts w:cstheme="minorHAnsi"/>
        </w:rPr>
        <w:t>.</w:t>
      </w:r>
      <w:r w:rsidR="00F724EC" w:rsidRPr="007D7DC9">
        <w:rPr>
          <w:rFonts w:cstheme="minorHAnsi"/>
        </w:rPr>
        <w:t xml:space="preserve"> </w:t>
      </w:r>
    </w:p>
    <w:p w14:paraId="17E37B62" w14:textId="0C5D9DE7" w:rsidR="006B4CF6" w:rsidRPr="007D7DC9" w:rsidRDefault="00F724EC" w:rsidP="004707A4">
      <w:pPr>
        <w:pStyle w:val="ListParagraph"/>
        <w:numPr>
          <w:ilvl w:val="1"/>
          <w:numId w:val="24"/>
        </w:numPr>
        <w:spacing w:after="0" w:line="240" w:lineRule="auto"/>
        <w:rPr>
          <w:rFonts w:eastAsia="Times New Roman" w:cstheme="minorHAnsi"/>
        </w:rPr>
      </w:pPr>
      <w:r w:rsidRPr="007D7DC9">
        <w:rPr>
          <w:rFonts w:cstheme="minorHAnsi"/>
        </w:rPr>
        <w:t xml:space="preserve">Ask your learners how frequently these patients should be screened and click to reveal the answer. In general, patients with risk factors should receive screening at least every 3 years. Patients with a history of pre-diabetes (HbA1c 5.7-6.4%) should be screened at least yearly. Those </w:t>
      </w:r>
      <w:r w:rsidR="004B235B" w:rsidRPr="007D7DC9">
        <w:rPr>
          <w:rFonts w:cstheme="minorHAnsi"/>
        </w:rPr>
        <w:t>patients</w:t>
      </w:r>
      <w:r w:rsidRPr="007D7DC9">
        <w:rPr>
          <w:rFonts w:cstheme="minorHAnsi"/>
        </w:rPr>
        <w:t xml:space="preserve"> with marginal H</w:t>
      </w:r>
      <w:r w:rsidR="005C1485" w:rsidRPr="007D7DC9">
        <w:rPr>
          <w:rFonts w:cstheme="minorHAnsi"/>
        </w:rPr>
        <w:t>b</w:t>
      </w:r>
      <w:r w:rsidRPr="007D7DC9">
        <w:rPr>
          <w:rFonts w:cstheme="minorHAnsi"/>
        </w:rPr>
        <w:t>A1c may be screened as soon as in 3-6 months.</w:t>
      </w:r>
      <w:r w:rsidR="00B55BF7" w:rsidRPr="007D7DC9">
        <w:rPr>
          <w:rFonts w:cstheme="minorHAnsi"/>
        </w:rPr>
        <w:t xml:space="preserve"> </w:t>
      </w:r>
    </w:p>
    <w:p w14:paraId="6930CFB4" w14:textId="109D14EB" w:rsidR="00E84F86" w:rsidRPr="00C07DFC" w:rsidRDefault="00E84F86" w:rsidP="00BE73DA">
      <w:pPr>
        <w:spacing w:after="0" w:line="240" w:lineRule="auto"/>
        <w:contextualSpacing/>
        <w:rPr>
          <w:rFonts w:eastAsia="Times New Roman" w:cstheme="minorHAnsi"/>
        </w:rPr>
      </w:pPr>
    </w:p>
    <w:p w14:paraId="2DC5ACF7" w14:textId="49C95E60" w:rsidR="006B4CF6" w:rsidRPr="00C07DFC" w:rsidRDefault="00E84F86" w:rsidP="006B4CF6">
      <w:pPr>
        <w:spacing w:after="0" w:line="240" w:lineRule="auto"/>
        <w:contextualSpacing/>
        <w:rPr>
          <w:rFonts w:eastAsia="Times New Roman" w:cstheme="minorHAnsi"/>
          <w:b/>
          <w:bCs/>
          <w:i/>
          <w:iCs/>
        </w:rPr>
      </w:pPr>
      <w:r w:rsidRPr="00C07DFC">
        <w:rPr>
          <w:rFonts w:eastAsia="Times New Roman" w:cstheme="minorHAnsi"/>
          <w:b/>
          <w:bCs/>
          <w:u w:val="single"/>
        </w:rPr>
        <w:t>Objective 2:</w:t>
      </w:r>
      <w:r w:rsidRPr="00C07DFC">
        <w:rPr>
          <w:rFonts w:eastAsia="Times New Roman" w:cstheme="minorHAnsi"/>
          <w:b/>
          <w:bCs/>
        </w:rPr>
        <w:t xml:space="preserve"> </w:t>
      </w:r>
      <w:r w:rsidRPr="00C07DFC">
        <w:rPr>
          <w:rFonts w:eastAsia="Times New Roman" w:cstheme="minorHAnsi"/>
          <w:b/>
          <w:bCs/>
          <w:i/>
          <w:iCs/>
        </w:rPr>
        <w:t>Recognize vascular complications of diabetes</w:t>
      </w:r>
      <w:r w:rsidR="00F724EC">
        <w:rPr>
          <w:rFonts w:eastAsia="Times New Roman" w:cstheme="minorHAnsi"/>
          <w:b/>
          <w:bCs/>
          <w:i/>
          <w:iCs/>
        </w:rPr>
        <w:t xml:space="preserve"> </w:t>
      </w:r>
      <w:r w:rsidR="00F724EC">
        <w:rPr>
          <w:rFonts w:eastAsia="Times New Roman" w:cstheme="minorHAnsi"/>
          <w:b/>
          <w:bCs/>
        </w:rPr>
        <w:t>(Complications)</w:t>
      </w:r>
    </w:p>
    <w:p w14:paraId="35D58479" w14:textId="652062D0" w:rsidR="006B4CF6" w:rsidRPr="00F724EC" w:rsidRDefault="00F724EC" w:rsidP="00F724EC">
      <w:pPr>
        <w:spacing w:after="0" w:line="240" w:lineRule="auto"/>
        <w:rPr>
          <w:rFonts w:eastAsia="Times New Roman" w:cstheme="minorHAnsi"/>
        </w:rPr>
      </w:pPr>
      <w:r>
        <w:rPr>
          <w:rFonts w:eastAsia="Times New Roman" w:cstheme="minorHAnsi"/>
        </w:rPr>
        <w:t>H</w:t>
      </w:r>
      <w:r w:rsidR="006B4CF6" w:rsidRPr="00F724EC">
        <w:rPr>
          <w:rFonts w:eastAsia="Times New Roman" w:cstheme="minorHAnsi"/>
        </w:rPr>
        <w:t>yperglycemia damages blood vessels and causes microvascular and macrovascular disease</w:t>
      </w:r>
      <w:r>
        <w:rPr>
          <w:rFonts w:eastAsia="Times New Roman" w:cstheme="minorHAnsi"/>
        </w:rPr>
        <w:t xml:space="preserve">. Ask your learners to name some microvascular and macrovascular complications of T2DM and click to reveal the answers. </w:t>
      </w:r>
    </w:p>
    <w:p w14:paraId="793FCAF3" w14:textId="5CD0FEC7" w:rsidR="005C08C8" w:rsidRDefault="006B4CF6" w:rsidP="005C08C8">
      <w:pPr>
        <w:pStyle w:val="ListParagraph"/>
        <w:numPr>
          <w:ilvl w:val="0"/>
          <w:numId w:val="24"/>
        </w:numPr>
        <w:spacing w:after="0" w:line="240" w:lineRule="auto"/>
        <w:rPr>
          <w:rFonts w:eastAsia="Times New Roman" w:cstheme="minorHAnsi"/>
        </w:rPr>
      </w:pPr>
      <w:r w:rsidRPr="00785137">
        <w:rPr>
          <w:rFonts w:eastAsia="Times New Roman" w:cstheme="minorHAnsi"/>
          <w:b/>
          <w:bCs/>
        </w:rPr>
        <w:t xml:space="preserve">Microvascular </w:t>
      </w:r>
      <w:r w:rsidR="00044AF2" w:rsidRPr="00785137">
        <w:rPr>
          <w:rFonts w:eastAsia="Times New Roman" w:cstheme="minorHAnsi"/>
          <w:b/>
          <w:bCs/>
        </w:rPr>
        <w:t>disease</w:t>
      </w:r>
      <w:r w:rsidR="00044AF2" w:rsidRPr="00C07DFC">
        <w:rPr>
          <w:rFonts w:eastAsia="Times New Roman" w:cstheme="minorHAnsi"/>
        </w:rPr>
        <w:t xml:space="preserve"> -</w:t>
      </w:r>
      <w:r w:rsidR="00CC25B9" w:rsidRPr="00C07DFC">
        <w:rPr>
          <w:rFonts w:eastAsia="Times New Roman" w:cstheme="minorHAnsi"/>
        </w:rPr>
        <w:t xml:space="preserve"> </w:t>
      </w:r>
      <w:r w:rsidR="00F724EC">
        <w:rPr>
          <w:rFonts w:eastAsia="Times New Roman" w:cstheme="minorHAnsi"/>
        </w:rPr>
        <w:t>T2</w:t>
      </w:r>
      <w:r w:rsidRPr="00C07DFC">
        <w:rPr>
          <w:rFonts w:eastAsia="Times New Roman" w:cstheme="minorHAnsi"/>
        </w:rPr>
        <w:t xml:space="preserve">DM damages the </w:t>
      </w:r>
      <w:r w:rsidR="00F724EC">
        <w:rPr>
          <w:rFonts w:eastAsia="Times New Roman" w:cstheme="minorHAnsi"/>
        </w:rPr>
        <w:t xml:space="preserve">small vessels </w:t>
      </w:r>
      <w:r w:rsidR="003D24F4">
        <w:rPr>
          <w:rFonts w:eastAsia="Times New Roman" w:cstheme="minorHAnsi"/>
        </w:rPr>
        <w:t>in the</w:t>
      </w:r>
      <w:r w:rsidR="00F724EC">
        <w:rPr>
          <w:rFonts w:eastAsia="Times New Roman" w:cstheme="minorHAnsi"/>
        </w:rPr>
        <w:t xml:space="preserve"> </w:t>
      </w:r>
      <w:r w:rsidRPr="00C07DFC">
        <w:rPr>
          <w:rFonts w:eastAsia="Times New Roman" w:cstheme="minorHAnsi"/>
        </w:rPr>
        <w:t xml:space="preserve">retina, kidney, and </w:t>
      </w:r>
      <w:r w:rsidR="003D24F4">
        <w:rPr>
          <w:rFonts w:eastAsia="Times New Roman" w:cstheme="minorHAnsi"/>
        </w:rPr>
        <w:t>nerves</w:t>
      </w:r>
      <w:r w:rsidR="00CC25B9" w:rsidRPr="00C07DFC">
        <w:rPr>
          <w:rFonts w:eastAsia="Times New Roman" w:cstheme="minorHAnsi"/>
        </w:rPr>
        <w:t xml:space="preserve">. </w:t>
      </w:r>
      <w:r w:rsidR="005C08C8">
        <w:rPr>
          <w:rFonts w:eastAsia="Times New Roman" w:cstheme="minorHAnsi"/>
          <w:i/>
          <w:iCs/>
        </w:rPr>
        <w:t xml:space="preserve">Click on “microvascular disease” to reveal complications. </w:t>
      </w:r>
      <w:r w:rsidR="003D24F4">
        <w:rPr>
          <w:rFonts w:eastAsia="Times New Roman" w:cstheme="minorHAnsi"/>
        </w:rPr>
        <w:t>Complications include:</w:t>
      </w:r>
    </w:p>
    <w:p w14:paraId="7C41F953" w14:textId="52316D82" w:rsidR="005C08C8" w:rsidRPr="005C08C8" w:rsidRDefault="005C08C8" w:rsidP="005C08C8">
      <w:pPr>
        <w:pStyle w:val="ListParagraph"/>
        <w:numPr>
          <w:ilvl w:val="1"/>
          <w:numId w:val="24"/>
        </w:numPr>
        <w:spacing w:after="0" w:line="240" w:lineRule="auto"/>
        <w:rPr>
          <w:rFonts w:eastAsia="Times New Roman" w:cstheme="minorHAnsi"/>
          <w:u w:val="single"/>
        </w:rPr>
      </w:pPr>
      <w:r w:rsidRPr="005C08C8">
        <w:rPr>
          <w:rFonts w:eastAsia="Times New Roman" w:cstheme="minorHAnsi"/>
          <w:u w:val="single"/>
        </w:rPr>
        <w:t>Manifestations of microvascular disease</w:t>
      </w:r>
    </w:p>
    <w:p w14:paraId="7595917A" w14:textId="58CAEF0F" w:rsidR="005C08C8" w:rsidRDefault="00CC25B9" w:rsidP="005C08C8">
      <w:pPr>
        <w:pStyle w:val="ListParagraph"/>
        <w:numPr>
          <w:ilvl w:val="2"/>
          <w:numId w:val="24"/>
        </w:numPr>
        <w:spacing w:after="0" w:line="240" w:lineRule="auto"/>
        <w:rPr>
          <w:rFonts w:eastAsia="Times New Roman" w:cstheme="minorHAnsi"/>
        </w:rPr>
      </w:pPr>
      <w:r w:rsidRPr="005C08C8">
        <w:rPr>
          <w:rFonts w:eastAsia="Times New Roman" w:cstheme="minorHAnsi"/>
        </w:rPr>
        <w:t>Diabetic retinopathy</w:t>
      </w:r>
      <w:r w:rsidR="003D24F4" w:rsidRPr="005C08C8">
        <w:rPr>
          <w:rFonts w:eastAsia="Times New Roman" w:cstheme="minorHAnsi"/>
        </w:rPr>
        <w:t xml:space="preserve"> -</w:t>
      </w:r>
      <w:r w:rsidRPr="005C08C8">
        <w:rPr>
          <w:rFonts w:eastAsia="Times New Roman" w:cstheme="minorHAnsi"/>
        </w:rPr>
        <w:t xml:space="preserve"> caused by retinal neovascularization and can lead to blindness</w:t>
      </w:r>
    </w:p>
    <w:p w14:paraId="2B8E2AB1" w14:textId="77777777" w:rsidR="005C08C8" w:rsidRDefault="00CC25B9" w:rsidP="005C08C8">
      <w:pPr>
        <w:pStyle w:val="ListParagraph"/>
        <w:numPr>
          <w:ilvl w:val="2"/>
          <w:numId w:val="24"/>
        </w:numPr>
        <w:spacing w:after="0" w:line="240" w:lineRule="auto"/>
        <w:rPr>
          <w:rFonts w:eastAsia="Times New Roman" w:cstheme="minorHAnsi"/>
        </w:rPr>
      </w:pPr>
      <w:r w:rsidRPr="005C08C8">
        <w:rPr>
          <w:rFonts w:eastAsia="Times New Roman" w:cstheme="minorHAnsi"/>
        </w:rPr>
        <w:t xml:space="preserve">Diabetic nephropathy </w:t>
      </w:r>
      <w:r w:rsidR="003D24F4" w:rsidRPr="005C08C8">
        <w:rPr>
          <w:rFonts w:eastAsia="Times New Roman" w:cstheme="minorHAnsi"/>
        </w:rPr>
        <w:t xml:space="preserve">- </w:t>
      </w:r>
      <w:r w:rsidRPr="005C08C8">
        <w:rPr>
          <w:rFonts w:eastAsia="Times New Roman" w:cstheme="minorHAnsi"/>
        </w:rPr>
        <w:t xml:space="preserve">causes </w:t>
      </w:r>
      <w:r w:rsidR="003D24F4" w:rsidRPr="005C08C8">
        <w:rPr>
          <w:rFonts w:eastAsia="Times New Roman" w:cstheme="minorHAnsi"/>
        </w:rPr>
        <w:t>chronic kidney disease</w:t>
      </w:r>
      <w:r w:rsidRPr="005C08C8">
        <w:rPr>
          <w:rFonts w:eastAsia="Times New Roman" w:cstheme="minorHAnsi"/>
        </w:rPr>
        <w:t xml:space="preserve"> with albuminuria and can lead to renal failure</w:t>
      </w:r>
      <w:r w:rsidR="003D24F4" w:rsidRPr="005C08C8">
        <w:rPr>
          <w:rFonts w:eastAsia="Times New Roman" w:cstheme="minorHAnsi"/>
        </w:rPr>
        <w:t>.</w:t>
      </w:r>
    </w:p>
    <w:p w14:paraId="6EA15C0F" w14:textId="77777777" w:rsidR="005C08C8" w:rsidRDefault="003D24F4" w:rsidP="005C08C8">
      <w:pPr>
        <w:pStyle w:val="ListParagraph"/>
        <w:numPr>
          <w:ilvl w:val="2"/>
          <w:numId w:val="24"/>
        </w:numPr>
        <w:spacing w:after="0" w:line="240" w:lineRule="auto"/>
        <w:rPr>
          <w:rFonts w:eastAsia="Times New Roman" w:cstheme="minorHAnsi"/>
        </w:rPr>
      </w:pPr>
      <w:r w:rsidRPr="005C08C8">
        <w:rPr>
          <w:rFonts w:eastAsia="Times New Roman" w:cstheme="minorHAnsi"/>
        </w:rPr>
        <w:t>Diabetic neuropathy – can manifest in many ways by affecting the peripheral nerves</w:t>
      </w:r>
      <w:r w:rsidR="007E6339" w:rsidRPr="005C08C8">
        <w:rPr>
          <w:rFonts w:eastAsia="Times New Roman" w:cstheme="minorHAnsi"/>
        </w:rPr>
        <w:t xml:space="preserve"> and</w:t>
      </w:r>
      <w:r w:rsidRPr="005C08C8">
        <w:rPr>
          <w:rFonts w:eastAsia="Times New Roman" w:cstheme="minorHAnsi"/>
        </w:rPr>
        <w:t xml:space="preserve"> autonomic nervous systems</w:t>
      </w:r>
      <w:r w:rsidR="007E6339" w:rsidRPr="005C08C8">
        <w:rPr>
          <w:rFonts w:eastAsia="Times New Roman" w:cstheme="minorHAnsi"/>
        </w:rPr>
        <w:t xml:space="preserve"> including the nerves supplying the GU and GI tracts</w:t>
      </w:r>
      <w:r w:rsidRPr="005C08C8">
        <w:rPr>
          <w:rFonts w:eastAsia="Times New Roman" w:cstheme="minorHAnsi"/>
        </w:rPr>
        <w:t xml:space="preserve">. </w:t>
      </w:r>
      <w:r w:rsidR="00CC25B9" w:rsidRPr="005C08C8">
        <w:rPr>
          <w:rFonts w:eastAsia="Times New Roman" w:cstheme="minorHAnsi"/>
        </w:rPr>
        <w:t xml:space="preserve">Peripheral neuropathy causes loss of feeling in feet </w:t>
      </w:r>
      <w:r w:rsidRPr="005C08C8">
        <w:rPr>
          <w:rFonts w:eastAsia="Times New Roman" w:cstheme="minorHAnsi"/>
        </w:rPr>
        <w:t xml:space="preserve">which </w:t>
      </w:r>
      <w:r w:rsidR="00CC25B9" w:rsidRPr="005C08C8">
        <w:rPr>
          <w:rFonts w:eastAsia="Times New Roman" w:cstheme="minorHAnsi"/>
        </w:rPr>
        <w:t xml:space="preserve">can lead to </w:t>
      </w:r>
      <w:r w:rsidRPr="005C08C8">
        <w:rPr>
          <w:rFonts w:eastAsia="Times New Roman" w:cstheme="minorHAnsi"/>
        </w:rPr>
        <w:t xml:space="preserve">undetected trauma that can lead to subsequent </w:t>
      </w:r>
      <w:r w:rsidR="00CC25B9" w:rsidRPr="005C08C8">
        <w:rPr>
          <w:rFonts w:eastAsia="Times New Roman" w:cstheme="minorHAnsi"/>
        </w:rPr>
        <w:t>ulcers and amputation</w:t>
      </w:r>
      <w:r w:rsidRPr="005C08C8">
        <w:rPr>
          <w:rFonts w:eastAsia="Times New Roman" w:cstheme="minorHAnsi"/>
        </w:rPr>
        <w:t xml:space="preserve">. </w:t>
      </w:r>
      <w:r w:rsidR="007E6339" w:rsidRPr="005C08C8">
        <w:rPr>
          <w:rFonts w:eastAsia="Times New Roman" w:cstheme="minorHAnsi"/>
        </w:rPr>
        <w:t xml:space="preserve">Autonomic dysfunction or failure manifests as orthostatic hypotension, hypoglycemic unawareness, gastroparesis, and neurogenic bladder. </w:t>
      </w:r>
    </w:p>
    <w:p w14:paraId="324AEBB2" w14:textId="77777777" w:rsidR="005C08C8" w:rsidRPr="005C08C8" w:rsidRDefault="00B97F68" w:rsidP="005C08C8">
      <w:pPr>
        <w:pStyle w:val="ListParagraph"/>
        <w:numPr>
          <w:ilvl w:val="1"/>
          <w:numId w:val="24"/>
        </w:numPr>
        <w:spacing w:after="0" w:line="240" w:lineRule="auto"/>
        <w:rPr>
          <w:rFonts w:eastAsia="Times New Roman" w:cstheme="minorHAnsi"/>
        </w:rPr>
      </w:pPr>
      <w:r w:rsidRPr="005C08C8">
        <w:rPr>
          <w:rFonts w:cstheme="minorHAnsi"/>
          <w:u w:val="single"/>
        </w:rPr>
        <w:t>S</w:t>
      </w:r>
      <w:r w:rsidR="00CC25B9" w:rsidRPr="005C08C8">
        <w:rPr>
          <w:rFonts w:cstheme="minorHAnsi"/>
          <w:u w:val="single"/>
        </w:rPr>
        <w:t>creening</w:t>
      </w:r>
      <w:r w:rsidR="00CC25B9" w:rsidRPr="005C08C8">
        <w:rPr>
          <w:rFonts w:cstheme="minorHAnsi"/>
        </w:rPr>
        <w:t xml:space="preserve">– </w:t>
      </w:r>
      <w:r w:rsidR="00785137" w:rsidRPr="005C08C8">
        <w:rPr>
          <w:rFonts w:cstheme="minorHAnsi"/>
        </w:rPr>
        <w:t>Ask your learners how to screen and how frequently to screen for each of the complications listed above. Retinopathy should be screened with yearly retinal exams. Nephropathy is screened with yearly urine tests for albuminuria (random spot urine al</w:t>
      </w:r>
      <w:r w:rsidR="00044AF2" w:rsidRPr="005C08C8">
        <w:rPr>
          <w:rFonts w:cstheme="minorHAnsi"/>
        </w:rPr>
        <w:t>b</w:t>
      </w:r>
      <w:r w:rsidR="00785137" w:rsidRPr="005C08C8">
        <w:rPr>
          <w:rFonts w:cstheme="minorHAnsi"/>
        </w:rPr>
        <w:t>umin:</w:t>
      </w:r>
      <w:r w:rsidR="00044AF2" w:rsidRPr="005C08C8">
        <w:rPr>
          <w:rFonts w:cstheme="minorHAnsi"/>
        </w:rPr>
        <w:t xml:space="preserve"> </w:t>
      </w:r>
      <w:r w:rsidR="00785137" w:rsidRPr="005C08C8">
        <w:rPr>
          <w:rFonts w:cstheme="minorHAnsi"/>
        </w:rPr>
        <w:t xml:space="preserve">creatinine ratio &gt; 30 mg/g). Yearly gross feet exams and monofilament testing </w:t>
      </w:r>
      <w:r w:rsidR="009D6B2A" w:rsidRPr="005C08C8">
        <w:rPr>
          <w:rFonts w:cstheme="minorHAnsi"/>
        </w:rPr>
        <w:t xml:space="preserve">assesses for development of peripheral neuropathy. There are no recommendations for screening for autonomic neuropathy. </w:t>
      </w:r>
    </w:p>
    <w:p w14:paraId="52D022CE" w14:textId="77777777" w:rsidR="005C08C8" w:rsidRDefault="00F426AD" w:rsidP="005C08C8">
      <w:pPr>
        <w:pStyle w:val="ListParagraph"/>
        <w:numPr>
          <w:ilvl w:val="1"/>
          <w:numId w:val="24"/>
        </w:numPr>
        <w:spacing w:after="0" w:line="240" w:lineRule="auto"/>
        <w:rPr>
          <w:rFonts w:eastAsia="Times New Roman" w:cstheme="minorHAnsi"/>
        </w:rPr>
      </w:pPr>
      <w:r w:rsidRPr="005C08C8">
        <w:rPr>
          <w:rFonts w:eastAsia="Times New Roman" w:cstheme="minorHAnsi"/>
          <w:u w:val="single"/>
        </w:rPr>
        <w:t>Prevention</w:t>
      </w:r>
      <w:r w:rsidRPr="005C08C8">
        <w:rPr>
          <w:rFonts w:eastAsia="Times New Roman" w:cstheme="minorHAnsi"/>
          <w:b/>
          <w:bCs/>
        </w:rPr>
        <w:t xml:space="preserve"> </w:t>
      </w:r>
      <w:r w:rsidR="009D6B2A" w:rsidRPr="005C08C8">
        <w:rPr>
          <w:rFonts w:eastAsia="Times New Roman" w:cstheme="minorHAnsi"/>
        </w:rPr>
        <w:t xml:space="preserve">– </w:t>
      </w:r>
      <w:r w:rsidRPr="005C08C8">
        <w:rPr>
          <w:rFonts w:eastAsia="Times New Roman" w:cstheme="minorHAnsi"/>
        </w:rPr>
        <w:t xml:space="preserve">more intensive management of diabetes, </w:t>
      </w:r>
      <w:proofErr w:type="gramStart"/>
      <w:r w:rsidRPr="005C08C8">
        <w:rPr>
          <w:rFonts w:eastAsia="Times New Roman" w:cstheme="minorHAnsi"/>
        </w:rPr>
        <w:t>e.g.</w:t>
      </w:r>
      <w:proofErr w:type="gramEnd"/>
      <w:r w:rsidRPr="005C08C8">
        <w:rPr>
          <w:rFonts w:eastAsia="Times New Roman" w:cstheme="minorHAnsi"/>
        </w:rPr>
        <w:t xml:space="preserve"> an A1c target of 7.0</w:t>
      </w:r>
      <w:r w:rsidR="00A55515" w:rsidRPr="005C08C8">
        <w:rPr>
          <w:rFonts w:eastAsia="Times New Roman" w:cstheme="minorHAnsi"/>
        </w:rPr>
        <w:t>%</w:t>
      </w:r>
      <w:r w:rsidRPr="005C08C8">
        <w:rPr>
          <w:rFonts w:eastAsia="Times New Roman" w:cstheme="minorHAnsi"/>
        </w:rPr>
        <w:t xml:space="preserve">, </w:t>
      </w:r>
      <w:r w:rsidRPr="00F31EA6">
        <w:rPr>
          <w:rFonts w:eastAsia="Times New Roman" w:cstheme="minorHAnsi"/>
        </w:rPr>
        <w:t>has</w:t>
      </w:r>
      <w:r w:rsidRPr="005C08C8">
        <w:rPr>
          <w:rFonts w:eastAsia="Times New Roman" w:cstheme="minorHAnsi"/>
        </w:rPr>
        <w:t xml:space="preserve"> been shown to reduce microvascular complications. As a bonus – it takes about </w:t>
      </w:r>
      <w:r w:rsidRPr="005C08C8">
        <w:rPr>
          <w:rFonts w:eastAsia="Times New Roman" w:cstheme="minorHAnsi"/>
          <w:i/>
          <w:iCs/>
        </w:rPr>
        <w:t>10 years</w:t>
      </w:r>
      <w:r w:rsidRPr="005C08C8">
        <w:rPr>
          <w:rFonts w:eastAsia="Times New Roman" w:cstheme="minorHAnsi"/>
        </w:rPr>
        <w:t xml:space="preserve"> to achieve benefit from tight control, so this A1c goal may not be appropriate in patients with limited life expectancy or who have already been diagnosed with these microvascular complications. </w:t>
      </w:r>
    </w:p>
    <w:p w14:paraId="46C3465B" w14:textId="3AB2E792" w:rsidR="005C08C8" w:rsidRDefault="006B4CF6" w:rsidP="005C08C8">
      <w:pPr>
        <w:pStyle w:val="ListParagraph"/>
        <w:numPr>
          <w:ilvl w:val="0"/>
          <w:numId w:val="24"/>
        </w:numPr>
        <w:spacing w:after="0" w:line="240" w:lineRule="auto"/>
        <w:rPr>
          <w:rFonts w:eastAsia="Times New Roman" w:cstheme="minorHAnsi"/>
        </w:rPr>
      </w:pPr>
      <w:r w:rsidRPr="005C08C8">
        <w:rPr>
          <w:rFonts w:eastAsia="Times New Roman" w:cstheme="minorHAnsi"/>
          <w:b/>
          <w:bCs/>
        </w:rPr>
        <w:t>Macrovascular disease</w:t>
      </w:r>
      <w:r w:rsidR="00CC25B9" w:rsidRPr="005C08C8">
        <w:rPr>
          <w:rFonts w:eastAsia="Times New Roman" w:cstheme="minorHAnsi"/>
        </w:rPr>
        <w:t xml:space="preserve">- </w:t>
      </w:r>
      <w:r w:rsidR="00F31EA6">
        <w:rPr>
          <w:rFonts w:eastAsia="Times New Roman" w:cstheme="minorHAnsi"/>
          <w:i/>
          <w:iCs/>
        </w:rPr>
        <w:t xml:space="preserve">Click on “macrovascular disease” to reveal manifestations of macrovascular disease. </w:t>
      </w:r>
      <w:r w:rsidR="00DC72AB" w:rsidRPr="005C08C8">
        <w:rPr>
          <w:rFonts w:eastAsia="Times New Roman" w:cstheme="minorHAnsi"/>
        </w:rPr>
        <w:t>T2</w:t>
      </w:r>
      <w:r w:rsidRPr="005C08C8">
        <w:rPr>
          <w:rFonts w:eastAsia="Times New Roman" w:cstheme="minorHAnsi"/>
        </w:rPr>
        <w:t xml:space="preserve">DM </w:t>
      </w:r>
      <w:r w:rsidR="00CC25B9" w:rsidRPr="005C08C8">
        <w:rPr>
          <w:rFonts w:eastAsia="Times New Roman" w:cstheme="minorHAnsi"/>
        </w:rPr>
        <w:t xml:space="preserve">damages cerebral, coronary, and peripheral </w:t>
      </w:r>
      <w:r w:rsidR="00DC72AB" w:rsidRPr="005C08C8">
        <w:rPr>
          <w:rFonts w:eastAsia="Times New Roman" w:cstheme="minorHAnsi"/>
        </w:rPr>
        <w:t>vasculature leading to cerebrovascular</w:t>
      </w:r>
      <w:r w:rsidR="00B97F68" w:rsidRPr="005C08C8">
        <w:rPr>
          <w:rFonts w:eastAsia="Times New Roman" w:cstheme="minorHAnsi"/>
        </w:rPr>
        <w:t xml:space="preserve"> disease (e.g., ischemic strokes)</w:t>
      </w:r>
      <w:r w:rsidR="00DC72AB" w:rsidRPr="005C08C8">
        <w:rPr>
          <w:rFonts w:eastAsia="Times New Roman" w:cstheme="minorHAnsi"/>
        </w:rPr>
        <w:t>, coronary artery</w:t>
      </w:r>
      <w:r w:rsidR="00B97F68" w:rsidRPr="005C08C8">
        <w:rPr>
          <w:rFonts w:eastAsia="Times New Roman" w:cstheme="minorHAnsi"/>
        </w:rPr>
        <w:t xml:space="preserve"> disease and myocardial infarctions</w:t>
      </w:r>
      <w:r w:rsidR="00DC72AB" w:rsidRPr="005C08C8">
        <w:rPr>
          <w:rFonts w:eastAsia="Times New Roman" w:cstheme="minorHAnsi"/>
        </w:rPr>
        <w:t xml:space="preserve">, and peripheral </w:t>
      </w:r>
      <w:r w:rsidR="00B97F68" w:rsidRPr="005C08C8">
        <w:rPr>
          <w:rFonts w:eastAsia="Times New Roman" w:cstheme="minorHAnsi"/>
        </w:rPr>
        <w:t>arterial</w:t>
      </w:r>
      <w:r w:rsidR="00DC72AB" w:rsidRPr="005C08C8">
        <w:rPr>
          <w:rFonts w:eastAsia="Times New Roman" w:cstheme="minorHAnsi"/>
        </w:rPr>
        <w:t xml:space="preserve"> disease. </w:t>
      </w:r>
    </w:p>
    <w:p w14:paraId="5A5BDF99" w14:textId="77777777" w:rsidR="005C08C8" w:rsidRDefault="00B97F68" w:rsidP="005C08C8">
      <w:pPr>
        <w:pStyle w:val="ListParagraph"/>
        <w:numPr>
          <w:ilvl w:val="1"/>
          <w:numId w:val="24"/>
        </w:numPr>
        <w:spacing w:after="0" w:line="240" w:lineRule="auto"/>
        <w:rPr>
          <w:rFonts w:eastAsia="Times New Roman" w:cstheme="minorHAnsi"/>
        </w:rPr>
      </w:pPr>
      <w:r w:rsidRPr="005C08C8">
        <w:rPr>
          <w:rFonts w:eastAsia="Times New Roman" w:cstheme="minorHAnsi"/>
          <w:u w:val="single"/>
        </w:rPr>
        <w:t>S</w:t>
      </w:r>
      <w:r w:rsidR="00CC25B9" w:rsidRPr="005C08C8">
        <w:rPr>
          <w:rFonts w:eastAsia="Times New Roman" w:cstheme="minorHAnsi"/>
          <w:u w:val="single"/>
        </w:rPr>
        <w:t>creening</w:t>
      </w:r>
      <w:r w:rsidRPr="005C08C8">
        <w:rPr>
          <w:rFonts w:eastAsia="Times New Roman" w:cstheme="minorHAnsi"/>
        </w:rPr>
        <w:t xml:space="preserve"> - </w:t>
      </w:r>
      <w:r w:rsidR="00CC25B9" w:rsidRPr="005C08C8">
        <w:rPr>
          <w:rFonts w:eastAsia="Times New Roman" w:cstheme="minorHAnsi"/>
        </w:rPr>
        <w:t>there is no</w:t>
      </w:r>
      <w:r w:rsidRPr="005C08C8">
        <w:rPr>
          <w:rFonts w:eastAsia="Times New Roman" w:cstheme="minorHAnsi"/>
        </w:rPr>
        <w:t xml:space="preserve"> recommendation for</w:t>
      </w:r>
      <w:r w:rsidR="00CC25B9" w:rsidRPr="005C08C8">
        <w:rPr>
          <w:rFonts w:eastAsia="Times New Roman" w:cstheme="minorHAnsi"/>
        </w:rPr>
        <w:t xml:space="preserve"> screening</w:t>
      </w:r>
      <w:r w:rsidRPr="005C08C8">
        <w:rPr>
          <w:rFonts w:eastAsia="Times New Roman" w:cstheme="minorHAnsi"/>
        </w:rPr>
        <w:t xml:space="preserve"> for macrovascular disease. Evaluate based on symptoms. </w:t>
      </w:r>
      <w:r w:rsidR="00CC25B9" w:rsidRPr="005C08C8">
        <w:rPr>
          <w:rFonts w:eastAsia="Times New Roman" w:cstheme="minorHAnsi"/>
        </w:rPr>
        <w:t xml:space="preserve"> </w:t>
      </w:r>
    </w:p>
    <w:p w14:paraId="7DFD5E73" w14:textId="77777777" w:rsidR="005C08C8" w:rsidRDefault="00F67CCD" w:rsidP="005C08C8">
      <w:pPr>
        <w:pStyle w:val="ListParagraph"/>
        <w:numPr>
          <w:ilvl w:val="1"/>
          <w:numId w:val="24"/>
        </w:numPr>
        <w:spacing w:after="0" w:line="240" w:lineRule="auto"/>
        <w:rPr>
          <w:rFonts w:eastAsia="Times New Roman" w:cstheme="minorHAnsi"/>
        </w:rPr>
      </w:pPr>
      <w:r w:rsidRPr="005C08C8">
        <w:rPr>
          <w:rFonts w:eastAsia="Times New Roman" w:cstheme="minorHAnsi"/>
          <w:u w:val="single"/>
        </w:rPr>
        <w:t>Prevention</w:t>
      </w:r>
      <w:r w:rsidRPr="005C08C8">
        <w:rPr>
          <w:rFonts w:eastAsia="Times New Roman" w:cstheme="minorHAnsi"/>
          <w:b/>
          <w:bCs/>
        </w:rPr>
        <w:t xml:space="preserve">- </w:t>
      </w:r>
      <w:r w:rsidR="00B97F68" w:rsidRPr="005C08C8">
        <w:rPr>
          <w:rFonts w:eastAsia="Times New Roman" w:cstheme="minorHAnsi"/>
        </w:rPr>
        <w:t xml:space="preserve">Unlike with microvascular disease, intensive diabetes control in patients with </w:t>
      </w:r>
      <w:r w:rsidR="00B97F68" w:rsidRPr="005C08C8">
        <w:rPr>
          <w:rFonts w:eastAsia="Times New Roman" w:cstheme="minorHAnsi"/>
          <w:i/>
          <w:iCs/>
        </w:rPr>
        <w:t>longstanding</w:t>
      </w:r>
      <w:r w:rsidR="00B97F68" w:rsidRPr="005C08C8">
        <w:rPr>
          <w:rFonts w:eastAsia="Times New Roman" w:cstheme="minorHAnsi"/>
        </w:rPr>
        <w:t xml:space="preserve"> diabetes has NOT been shown to reduce macrovascular outcomes. In contrast, there is some evidence that early intensive glycemic control (A1c target 7.0) in </w:t>
      </w:r>
      <w:r w:rsidR="00B97F68" w:rsidRPr="005C08C8">
        <w:rPr>
          <w:rFonts w:eastAsia="Times New Roman" w:cstheme="minorHAnsi"/>
          <w:i/>
          <w:iCs/>
        </w:rPr>
        <w:t>newly diagnosed</w:t>
      </w:r>
      <w:r w:rsidR="00B97F68" w:rsidRPr="005C08C8">
        <w:rPr>
          <w:rFonts w:eastAsia="Times New Roman" w:cstheme="minorHAnsi"/>
        </w:rPr>
        <w:t xml:space="preserve"> diabetics may reduce later macrovascular outcomes.</w:t>
      </w:r>
    </w:p>
    <w:p w14:paraId="5FBDE645" w14:textId="77777777" w:rsidR="005C08C8" w:rsidRDefault="0060386C" w:rsidP="005C08C8">
      <w:pPr>
        <w:pStyle w:val="ListParagraph"/>
        <w:numPr>
          <w:ilvl w:val="2"/>
          <w:numId w:val="24"/>
        </w:numPr>
        <w:spacing w:after="0" w:line="240" w:lineRule="auto"/>
        <w:rPr>
          <w:rFonts w:eastAsia="Times New Roman" w:cstheme="minorHAnsi"/>
        </w:rPr>
      </w:pPr>
      <w:r w:rsidRPr="005C08C8">
        <w:rPr>
          <w:rFonts w:eastAsia="Times New Roman" w:cstheme="minorHAnsi"/>
        </w:rPr>
        <w:t xml:space="preserve">Since </w:t>
      </w:r>
      <w:r w:rsidR="00CC25B9" w:rsidRPr="005C08C8">
        <w:rPr>
          <w:rFonts w:eastAsia="Times New Roman" w:cstheme="minorHAnsi"/>
        </w:rPr>
        <w:t xml:space="preserve">A1c does not have much </w:t>
      </w:r>
      <w:r w:rsidR="00411338" w:rsidRPr="005C08C8">
        <w:rPr>
          <w:rFonts w:eastAsia="Times New Roman" w:cstheme="minorHAnsi"/>
        </w:rPr>
        <w:t xml:space="preserve">effect </w:t>
      </w:r>
      <w:r w:rsidR="00CC25B9" w:rsidRPr="005C08C8">
        <w:rPr>
          <w:rFonts w:eastAsia="Times New Roman" w:cstheme="minorHAnsi"/>
        </w:rPr>
        <w:t>on macrovascular disease</w:t>
      </w:r>
      <w:r w:rsidR="00411338" w:rsidRPr="005C08C8">
        <w:rPr>
          <w:rFonts w:eastAsia="Times New Roman" w:cstheme="minorHAnsi"/>
        </w:rPr>
        <w:t xml:space="preserve"> for many patients, focusing on aggressive </w:t>
      </w:r>
      <w:r w:rsidR="00CC25B9" w:rsidRPr="005C08C8">
        <w:rPr>
          <w:rFonts w:eastAsia="Times New Roman" w:cstheme="minorHAnsi"/>
        </w:rPr>
        <w:t xml:space="preserve">treatment of HTN, lipids, and tobacco leads to less </w:t>
      </w:r>
      <w:r w:rsidRPr="005C08C8">
        <w:rPr>
          <w:rFonts w:eastAsia="Times New Roman" w:cstheme="minorHAnsi"/>
        </w:rPr>
        <w:t>atherosclerotic cardiovascular (</w:t>
      </w:r>
      <w:r w:rsidR="00CC25B9" w:rsidRPr="005C08C8">
        <w:rPr>
          <w:rFonts w:eastAsia="Times New Roman" w:cstheme="minorHAnsi"/>
        </w:rPr>
        <w:t>ASCVD</w:t>
      </w:r>
      <w:r w:rsidRPr="005C08C8">
        <w:rPr>
          <w:rFonts w:eastAsia="Times New Roman" w:cstheme="minorHAnsi"/>
        </w:rPr>
        <w:t>)</w:t>
      </w:r>
      <w:r w:rsidR="00CC25B9" w:rsidRPr="005C08C8">
        <w:rPr>
          <w:rFonts w:eastAsia="Times New Roman" w:cstheme="minorHAnsi"/>
        </w:rPr>
        <w:t xml:space="preserve"> mortality and morbidity. </w:t>
      </w:r>
    </w:p>
    <w:p w14:paraId="3A081765" w14:textId="77777777" w:rsidR="005C08C8" w:rsidRDefault="00CC25B9" w:rsidP="005C08C8">
      <w:pPr>
        <w:pStyle w:val="ListParagraph"/>
        <w:numPr>
          <w:ilvl w:val="2"/>
          <w:numId w:val="24"/>
        </w:numPr>
        <w:spacing w:after="0" w:line="240" w:lineRule="auto"/>
        <w:rPr>
          <w:rFonts w:eastAsia="Times New Roman" w:cstheme="minorHAnsi"/>
        </w:rPr>
      </w:pPr>
      <w:r w:rsidRPr="005C08C8">
        <w:rPr>
          <w:rFonts w:eastAsia="Times New Roman" w:cstheme="minorHAnsi"/>
        </w:rPr>
        <w:t>Moderate intensity statin is recommended for primary prevention of hyperlipidemia</w:t>
      </w:r>
    </w:p>
    <w:p w14:paraId="4E8ADE2E" w14:textId="77777777" w:rsidR="005C08C8" w:rsidRDefault="00CC25B9" w:rsidP="005C08C8">
      <w:pPr>
        <w:pStyle w:val="ListParagraph"/>
        <w:numPr>
          <w:ilvl w:val="2"/>
          <w:numId w:val="24"/>
        </w:numPr>
        <w:spacing w:after="0" w:line="240" w:lineRule="auto"/>
        <w:rPr>
          <w:rFonts w:eastAsia="Times New Roman" w:cstheme="minorHAnsi"/>
        </w:rPr>
      </w:pPr>
      <w:r w:rsidRPr="005C08C8">
        <w:rPr>
          <w:rFonts w:eastAsia="Times New Roman" w:cstheme="minorHAnsi"/>
        </w:rPr>
        <w:t>BP goal of &lt;</w:t>
      </w:r>
      <w:r w:rsidR="00411338" w:rsidRPr="005C08C8">
        <w:rPr>
          <w:rFonts w:eastAsia="Times New Roman" w:cstheme="minorHAnsi"/>
        </w:rPr>
        <w:t>130/80 if higher baseline CV risk (</w:t>
      </w:r>
      <w:proofErr w:type="gramStart"/>
      <w:r w:rsidR="00411338" w:rsidRPr="005C08C8">
        <w:rPr>
          <w:rFonts w:eastAsia="Times New Roman" w:cstheme="minorHAnsi"/>
        </w:rPr>
        <w:t>e.g.</w:t>
      </w:r>
      <w:proofErr w:type="gramEnd"/>
      <w:r w:rsidR="00411338" w:rsidRPr="005C08C8">
        <w:rPr>
          <w:rFonts w:eastAsia="Times New Roman" w:cstheme="minorHAnsi"/>
        </w:rPr>
        <w:t xml:space="preserve"> 10 year risk &gt;15% or preexisting ASCVD). &lt;140/90 if lower baseline risk. </w:t>
      </w:r>
    </w:p>
    <w:p w14:paraId="713234D8" w14:textId="1D688A35" w:rsidR="00CC25B9" w:rsidRPr="005C08C8" w:rsidRDefault="00CC25B9" w:rsidP="005C08C8">
      <w:pPr>
        <w:pStyle w:val="ListParagraph"/>
        <w:numPr>
          <w:ilvl w:val="2"/>
          <w:numId w:val="24"/>
        </w:numPr>
        <w:spacing w:after="0" w:line="240" w:lineRule="auto"/>
        <w:rPr>
          <w:rFonts w:eastAsia="Times New Roman" w:cstheme="minorHAnsi"/>
        </w:rPr>
      </w:pPr>
      <w:r w:rsidRPr="005C08C8">
        <w:rPr>
          <w:rFonts w:eastAsia="Times New Roman" w:cstheme="minorHAnsi"/>
        </w:rPr>
        <w:t>Tobacco cessation</w:t>
      </w:r>
    </w:p>
    <w:p w14:paraId="588A2E62" w14:textId="77777777" w:rsidR="00E84F86" w:rsidRPr="00C07DFC" w:rsidRDefault="00E84F86" w:rsidP="00BE73DA">
      <w:pPr>
        <w:spacing w:after="0" w:line="240" w:lineRule="auto"/>
        <w:contextualSpacing/>
        <w:rPr>
          <w:rFonts w:eastAsia="Times New Roman" w:cstheme="minorHAnsi"/>
        </w:rPr>
      </w:pPr>
    </w:p>
    <w:p w14:paraId="602DA262" w14:textId="77777777" w:rsidR="00E35A9C" w:rsidRDefault="00624DE0" w:rsidP="008D03A1">
      <w:pPr>
        <w:spacing w:after="0" w:line="240" w:lineRule="auto"/>
        <w:contextualSpacing/>
        <w:rPr>
          <w:rFonts w:eastAsia="Times New Roman" w:cstheme="minorHAnsi"/>
          <w:b/>
          <w:bCs/>
        </w:rPr>
      </w:pPr>
      <w:r w:rsidRPr="00C07DFC">
        <w:rPr>
          <w:rFonts w:eastAsia="Times New Roman" w:cstheme="minorHAnsi"/>
          <w:b/>
          <w:bCs/>
          <w:u w:val="single"/>
        </w:rPr>
        <w:t>Objective 3:</w:t>
      </w:r>
      <w:r w:rsidRPr="00C07DFC">
        <w:rPr>
          <w:rFonts w:eastAsia="Times New Roman" w:cstheme="minorHAnsi"/>
          <w:b/>
          <w:bCs/>
        </w:rPr>
        <w:t xml:space="preserve"> </w:t>
      </w:r>
      <w:r w:rsidRPr="00C07DFC">
        <w:rPr>
          <w:rFonts w:eastAsia="Times New Roman" w:cstheme="minorHAnsi"/>
          <w:b/>
          <w:bCs/>
          <w:i/>
          <w:iCs/>
        </w:rPr>
        <w:t>Determine pharmacologic treatment for patients with diabetes based on comorbidities first</w:t>
      </w:r>
      <w:r w:rsidR="008D03A1">
        <w:rPr>
          <w:rFonts w:eastAsia="Times New Roman" w:cstheme="minorHAnsi"/>
          <w:b/>
          <w:bCs/>
          <w:i/>
          <w:iCs/>
        </w:rPr>
        <w:t xml:space="preserve"> </w:t>
      </w:r>
      <w:r w:rsidR="008D03A1">
        <w:rPr>
          <w:rFonts w:eastAsia="Times New Roman" w:cstheme="minorHAnsi"/>
          <w:b/>
          <w:bCs/>
        </w:rPr>
        <w:t>(Management)</w:t>
      </w:r>
    </w:p>
    <w:p w14:paraId="5843E873" w14:textId="310CD139" w:rsidR="00CC25B9" w:rsidRPr="007E6515" w:rsidRDefault="008D03A1" w:rsidP="008D03A1">
      <w:pPr>
        <w:spacing w:after="0" w:line="240" w:lineRule="auto"/>
        <w:contextualSpacing/>
        <w:rPr>
          <w:rFonts w:eastAsia="Times New Roman" w:cstheme="minorHAnsi"/>
        </w:rPr>
      </w:pPr>
      <w:r>
        <w:rPr>
          <w:rFonts w:eastAsia="Times New Roman" w:cstheme="minorHAnsi"/>
        </w:rPr>
        <w:t xml:space="preserve">The </w:t>
      </w:r>
      <w:r w:rsidR="00350B21" w:rsidRPr="00044AF2">
        <w:rPr>
          <w:rFonts w:eastAsia="Times New Roman" w:cstheme="minorHAnsi"/>
        </w:rPr>
        <w:t xml:space="preserve">steps of this algorithm </w:t>
      </w:r>
      <w:r>
        <w:rPr>
          <w:rFonts w:eastAsia="Times New Roman" w:cstheme="minorHAnsi"/>
        </w:rPr>
        <w:t>are adapted</w:t>
      </w:r>
      <w:r w:rsidR="00350B21" w:rsidRPr="007E6515">
        <w:rPr>
          <w:rFonts w:eastAsia="Times New Roman" w:cstheme="minorHAnsi"/>
        </w:rPr>
        <w:t xml:space="preserve"> from the </w:t>
      </w:r>
      <w:r w:rsidR="004B235B">
        <w:rPr>
          <w:rFonts w:eastAsia="Times New Roman" w:cstheme="minorHAnsi"/>
        </w:rPr>
        <w:t>202</w:t>
      </w:r>
      <w:r w:rsidR="003138B1">
        <w:rPr>
          <w:rFonts w:eastAsia="Times New Roman" w:cstheme="minorHAnsi"/>
        </w:rPr>
        <w:t>2</w:t>
      </w:r>
      <w:r w:rsidR="004B235B">
        <w:rPr>
          <w:rFonts w:eastAsia="Times New Roman" w:cstheme="minorHAnsi"/>
        </w:rPr>
        <w:t xml:space="preserve"> ADA guidelines</w:t>
      </w:r>
      <w:r w:rsidR="00434567">
        <w:rPr>
          <w:rFonts w:eastAsia="Times New Roman" w:cstheme="minorHAnsi"/>
        </w:rPr>
        <w:t>. The integral questions in assessing treatment options beyond 1</w:t>
      </w:r>
      <w:r w:rsidR="00434567" w:rsidRPr="007E6515">
        <w:rPr>
          <w:rFonts w:eastAsia="Times New Roman" w:cstheme="minorHAnsi"/>
          <w:vertAlign w:val="superscript"/>
        </w:rPr>
        <w:t>st</w:t>
      </w:r>
      <w:r w:rsidR="00434567">
        <w:rPr>
          <w:rFonts w:eastAsia="Times New Roman" w:cstheme="minorHAnsi"/>
        </w:rPr>
        <w:t xml:space="preserve"> line treatment include 1) presence of ASCVD risk factors, HF, or CKD 2) desire for weight loss 4) cost and 5) risk of hypoglycemia. </w:t>
      </w:r>
    </w:p>
    <w:p w14:paraId="6510BC44" w14:textId="0BC57B43" w:rsidR="003138B1" w:rsidRPr="003138B1" w:rsidRDefault="003138B1" w:rsidP="008D03A1">
      <w:pPr>
        <w:pStyle w:val="ListParagraph"/>
        <w:numPr>
          <w:ilvl w:val="0"/>
          <w:numId w:val="15"/>
        </w:numPr>
        <w:spacing w:after="0" w:line="240" w:lineRule="auto"/>
        <w:rPr>
          <w:rFonts w:eastAsia="Times New Roman" w:cstheme="minorHAnsi"/>
        </w:rPr>
      </w:pPr>
      <w:r w:rsidRPr="003138B1">
        <w:rPr>
          <w:rFonts w:eastAsia="Times New Roman" w:cstheme="minorHAnsi"/>
          <w:i/>
          <w:iCs/>
          <w:u w:val="single"/>
        </w:rPr>
        <w:t>Management</w:t>
      </w:r>
    </w:p>
    <w:p w14:paraId="0D949F3C" w14:textId="4E95AFE2" w:rsidR="00F2636E" w:rsidRPr="008D03A1" w:rsidRDefault="00CC25B9" w:rsidP="003138B1">
      <w:pPr>
        <w:pStyle w:val="ListParagraph"/>
        <w:numPr>
          <w:ilvl w:val="1"/>
          <w:numId w:val="15"/>
        </w:numPr>
        <w:spacing w:after="0" w:line="240" w:lineRule="auto"/>
        <w:rPr>
          <w:rFonts w:eastAsia="Times New Roman" w:cstheme="minorHAnsi"/>
        </w:rPr>
      </w:pPr>
      <w:r w:rsidRPr="008D03A1">
        <w:rPr>
          <w:rFonts w:eastAsia="Times New Roman" w:cstheme="minorHAnsi"/>
          <w:u w:val="single"/>
        </w:rPr>
        <w:t>1</w:t>
      </w:r>
      <w:r w:rsidRPr="008D03A1">
        <w:rPr>
          <w:rFonts w:eastAsia="Times New Roman" w:cstheme="minorHAnsi"/>
          <w:u w:val="single"/>
          <w:vertAlign w:val="superscript"/>
        </w:rPr>
        <w:t>st</w:t>
      </w:r>
      <w:r w:rsidRPr="008D03A1">
        <w:rPr>
          <w:rFonts w:eastAsia="Times New Roman" w:cstheme="minorHAnsi"/>
          <w:u w:val="single"/>
        </w:rPr>
        <w:t xml:space="preserve"> line treatment</w:t>
      </w:r>
      <w:r w:rsidRPr="00C07DFC">
        <w:rPr>
          <w:rFonts w:eastAsia="Times New Roman" w:cstheme="minorHAnsi"/>
        </w:rPr>
        <w:t xml:space="preserve"> </w:t>
      </w:r>
      <w:r w:rsidR="00026670">
        <w:rPr>
          <w:rFonts w:eastAsia="Times New Roman" w:cstheme="minorHAnsi"/>
        </w:rPr>
        <w:t xml:space="preserve">- </w:t>
      </w:r>
      <w:r w:rsidR="008D03A1">
        <w:rPr>
          <w:rFonts w:eastAsia="Times New Roman" w:cstheme="minorHAnsi"/>
        </w:rPr>
        <w:t>Lifestyle modifications should be recommended for all patients</w:t>
      </w:r>
      <w:r w:rsidR="00967073">
        <w:rPr>
          <w:rFonts w:eastAsia="Times New Roman" w:cstheme="minorHAnsi"/>
        </w:rPr>
        <w:t xml:space="preserve">. For overweight or obese patients, the goal is to achieve and maintain &gt;5% weight loss and a minimum of 150 min/week of moderate to vigorous intensity exercise. </w:t>
      </w:r>
      <w:r w:rsidR="008D03A1">
        <w:rPr>
          <w:rFonts w:eastAsia="Times New Roman" w:cstheme="minorHAnsi"/>
        </w:rPr>
        <w:t xml:space="preserve">Metformin is considered first line therapy for all patients with eGFR &gt; 30. </w:t>
      </w:r>
    </w:p>
    <w:p w14:paraId="48D7D32B" w14:textId="4BC60AA2" w:rsidR="001D3E88" w:rsidRPr="00C07DFC" w:rsidRDefault="00EF54E6" w:rsidP="003138B1">
      <w:pPr>
        <w:pStyle w:val="ListParagraph"/>
        <w:numPr>
          <w:ilvl w:val="1"/>
          <w:numId w:val="15"/>
        </w:numPr>
        <w:spacing w:after="0" w:line="240" w:lineRule="auto"/>
        <w:rPr>
          <w:rFonts w:eastAsia="Times New Roman" w:cstheme="minorHAnsi"/>
        </w:rPr>
      </w:pPr>
      <w:r w:rsidRPr="007E6515">
        <w:rPr>
          <w:rFonts w:eastAsia="Times New Roman" w:cstheme="minorHAnsi"/>
          <w:u w:val="single"/>
        </w:rPr>
        <w:t>High risk of CVD, CKD, or HF</w:t>
      </w:r>
      <w:r w:rsidR="007E6515">
        <w:rPr>
          <w:rFonts w:eastAsia="Times New Roman" w:cstheme="minorHAnsi"/>
        </w:rPr>
        <w:t xml:space="preserve"> - This </w:t>
      </w:r>
      <w:r w:rsidR="004B235B" w:rsidRPr="00C07DFC">
        <w:rPr>
          <w:rFonts w:eastAsia="Times New Roman" w:cstheme="minorHAnsi"/>
        </w:rPr>
        <w:t>emphasizes</w:t>
      </w:r>
      <w:r w:rsidR="00CC25B9" w:rsidRPr="00C07DFC">
        <w:rPr>
          <w:rFonts w:eastAsia="Times New Roman" w:cstheme="minorHAnsi"/>
        </w:rPr>
        <w:t xml:space="preserve"> that </w:t>
      </w:r>
      <w:r w:rsidRPr="00C07DFC">
        <w:rPr>
          <w:rFonts w:eastAsia="Times New Roman" w:cstheme="minorHAnsi"/>
        </w:rPr>
        <w:t xml:space="preserve">there has been a recent shift to individualize treatment based primarily on patients’ comorbidities, then consider A1c. For example, even a patient’s A1c is at goal, </w:t>
      </w:r>
      <w:r w:rsidR="00F61B6A">
        <w:rPr>
          <w:rFonts w:eastAsia="Times New Roman" w:cstheme="minorHAnsi"/>
        </w:rPr>
        <w:t>they</w:t>
      </w:r>
      <w:r w:rsidRPr="00C07DFC">
        <w:rPr>
          <w:rFonts w:eastAsia="Times New Roman" w:cstheme="minorHAnsi"/>
        </w:rPr>
        <w:t xml:space="preserve"> may benefit from an SGLT2 if </w:t>
      </w:r>
      <w:r w:rsidR="00F61B6A">
        <w:rPr>
          <w:rFonts w:eastAsia="Times New Roman" w:cstheme="minorHAnsi"/>
        </w:rPr>
        <w:t>they have</w:t>
      </w:r>
      <w:r w:rsidRPr="00C07DFC">
        <w:rPr>
          <w:rFonts w:eastAsia="Times New Roman" w:cstheme="minorHAnsi"/>
        </w:rPr>
        <w:t xml:space="preserve"> </w:t>
      </w:r>
      <w:r w:rsidR="00CB7237">
        <w:rPr>
          <w:rFonts w:eastAsia="Times New Roman" w:cstheme="minorHAnsi"/>
        </w:rPr>
        <w:t>HF.</w:t>
      </w:r>
    </w:p>
    <w:p w14:paraId="0F84E24B" w14:textId="5DE8DD85" w:rsidR="00CC25B9" w:rsidRPr="00C07DFC" w:rsidRDefault="001D3E88" w:rsidP="003138B1">
      <w:pPr>
        <w:pStyle w:val="ListParagraph"/>
        <w:numPr>
          <w:ilvl w:val="2"/>
          <w:numId w:val="15"/>
        </w:numPr>
        <w:spacing w:after="0" w:line="240" w:lineRule="auto"/>
        <w:rPr>
          <w:rFonts w:eastAsia="Times New Roman" w:cstheme="minorHAnsi"/>
        </w:rPr>
      </w:pPr>
      <w:r w:rsidRPr="00C07DFC">
        <w:rPr>
          <w:rFonts w:eastAsia="Times New Roman" w:cstheme="minorHAnsi"/>
        </w:rPr>
        <w:lastRenderedPageBreak/>
        <w:t>P</w:t>
      </w:r>
      <w:r w:rsidR="00CC25B9" w:rsidRPr="00C07DFC">
        <w:rPr>
          <w:rFonts w:eastAsia="Times New Roman" w:cstheme="minorHAnsi"/>
        </w:rPr>
        <w:t>atients should be offered an SGLT2 and/or a GLP1 agonist if they have any of these conditions. This means that if a patient has an A1c of 6.7</w:t>
      </w:r>
      <w:r w:rsidR="00F61B6A">
        <w:rPr>
          <w:rFonts w:eastAsia="Times New Roman" w:cstheme="minorHAnsi"/>
        </w:rPr>
        <w:t>%</w:t>
      </w:r>
      <w:r w:rsidR="00CC25B9" w:rsidRPr="00C07DFC">
        <w:rPr>
          <w:rFonts w:eastAsia="Times New Roman" w:cstheme="minorHAnsi"/>
        </w:rPr>
        <w:t xml:space="preserve"> but has diabetic nephropathy</w:t>
      </w:r>
      <w:r w:rsidR="00F61B6A">
        <w:rPr>
          <w:rFonts w:eastAsia="Times New Roman" w:cstheme="minorHAnsi"/>
        </w:rPr>
        <w:t xml:space="preserve">, </w:t>
      </w:r>
      <w:r w:rsidR="00CB7237">
        <w:rPr>
          <w:rFonts w:eastAsia="Times New Roman" w:cstheme="minorHAnsi"/>
        </w:rPr>
        <w:t>hypertension</w:t>
      </w:r>
      <w:r w:rsidRPr="00C07DFC">
        <w:rPr>
          <w:rFonts w:eastAsia="Times New Roman" w:cstheme="minorHAnsi"/>
        </w:rPr>
        <w:t>, hyperli</w:t>
      </w:r>
      <w:r w:rsidR="00EF54E6" w:rsidRPr="00C07DFC">
        <w:rPr>
          <w:rFonts w:eastAsia="Times New Roman" w:cstheme="minorHAnsi"/>
        </w:rPr>
        <w:t>p</w:t>
      </w:r>
      <w:r w:rsidRPr="00C07DFC">
        <w:rPr>
          <w:rFonts w:eastAsia="Times New Roman" w:cstheme="minorHAnsi"/>
        </w:rPr>
        <w:t>idemia, and obesity</w:t>
      </w:r>
      <w:r w:rsidR="00F61B6A">
        <w:rPr>
          <w:rFonts w:eastAsia="Times New Roman" w:cstheme="minorHAnsi"/>
        </w:rPr>
        <w:t xml:space="preserve">, </w:t>
      </w:r>
      <w:r w:rsidRPr="00C07DFC">
        <w:rPr>
          <w:rFonts w:eastAsia="Times New Roman" w:cstheme="minorHAnsi"/>
        </w:rPr>
        <w:t xml:space="preserve">they should be on a SGLT2 and/or a GLP1. This strong recommendation is due to the mortality benefit present with SGLT2 inhibitors and GLP1 agonists in these patient populations. </w:t>
      </w:r>
      <w:r w:rsidR="00E828AF" w:rsidRPr="00C07DFC">
        <w:rPr>
          <w:rFonts w:eastAsia="Times New Roman" w:cstheme="minorHAnsi"/>
        </w:rPr>
        <w:t>Of note, i</w:t>
      </w:r>
      <w:r w:rsidRPr="00C07DFC">
        <w:rPr>
          <w:rFonts w:eastAsia="Times New Roman" w:cstheme="minorHAnsi"/>
        </w:rPr>
        <w:t>nsulin does NOT have a mortality benefit in T2DM.</w:t>
      </w:r>
      <w:r w:rsidR="00E828AF" w:rsidRPr="00C07DFC">
        <w:rPr>
          <w:rFonts w:eastAsia="Times New Roman" w:cstheme="minorHAnsi"/>
        </w:rPr>
        <w:t xml:space="preserve"> </w:t>
      </w:r>
      <w:r w:rsidRPr="00C07DFC">
        <w:rPr>
          <w:rFonts w:eastAsia="Times New Roman" w:cstheme="minorHAnsi"/>
        </w:rPr>
        <w:t xml:space="preserve">  </w:t>
      </w:r>
    </w:p>
    <w:p w14:paraId="44C1A353" w14:textId="0A03F2DE" w:rsidR="00F2636E" w:rsidRPr="00C07DFC" w:rsidRDefault="00F2636E" w:rsidP="003138B1">
      <w:pPr>
        <w:pStyle w:val="ListParagraph"/>
        <w:numPr>
          <w:ilvl w:val="2"/>
          <w:numId w:val="15"/>
        </w:numPr>
        <w:spacing w:after="0" w:line="240" w:lineRule="auto"/>
        <w:rPr>
          <w:rFonts w:eastAsia="Times New Roman" w:cstheme="minorHAnsi"/>
        </w:rPr>
      </w:pPr>
      <w:r w:rsidRPr="00C07DFC">
        <w:rPr>
          <w:rFonts w:eastAsia="Times New Roman" w:cstheme="minorHAnsi"/>
        </w:rPr>
        <w:t>The data is unclear if these cardioprotective and renal protective benefits can be attributed to each class of medications or if is due to a specific medication</w:t>
      </w:r>
      <w:r w:rsidR="00F61B6A">
        <w:rPr>
          <w:rFonts w:eastAsia="Times New Roman" w:cstheme="minorHAnsi"/>
        </w:rPr>
        <w:t>.</w:t>
      </w:r>
    </w:p>
    <w:p w14:paraId="16554C34" w14:textId="75634093" w:rsidR="00F2636E" w:rsidRPr="00C07DFC" w:rsidRDefault="00F2636E" w:rsidP="003138B1">
      <w:pPr>
        <w:pStyle w:val="ListParagraph"/>
        <w:numPr>
          <w:ilvl w:val="2"/>
          <w:numId w:val="15"/>
        </w:numPr>
        <w:spacing w:after="0" w:line="240" w:lineRule="auto"/>
        <w:rPr>
          <w:rFonts w:eastAsia="Times New Roman" w:cstheme="minorHAnsi"/>
        </w:rPr>
      </w:pPr>
      <w:r w:rsidRPr="00C07DFC">
        <w:rPr>
          <w:rFonts w:eastAsia="Times New Roman" w:cstheme="minorHAnsi"/>
        </w:rPr>
        <w:t xml:space="preserve">Naming which SGLT2 and GLP1 medication is indicated for what disease process is outside the scope of this </w:t>
      </w:r>
      <w:r w:rsidR="00E828AF" w:rsidRPr="00C07DFC">
        <w:rPr>
          <w:rFonts w:eastAsia="Times New Roman" w:cstheme="minorHAnsi"/>
        </w:rPr>
        <w:t>module.</w:t>
      </w:r>
    </w:p>
    <w:p w14:paraId="4470FC41" w14:textId="34F787B9" w:rsidR="001D3E88" w:rsidRPr="00D9223A" w:rsidRDefault="003C7FB8" w:rsidP="003138B1">
      <w:pPr>
        <w:pStyle w:val="ListParagraph"/>
        <w:numPr>
          <w:ilvl w:val="1"/>
          <w:numId w:val="15"/>
        </w:numPr>
        <w:spacing w:after="0" w:line="240" w:lineRule="auto"/>
        <w:rPr>
          <w:rFonts w:eastAsia="Times New Roman" w:cstheme="minorHAnsi"/>
        </w:rPr>
      </w:pPr>
      <w:r w:rsidRPr="00D9223A">
        <w:rPr>
          <w:rFonts w:eastAsia="Times New Roman" w:cstheme="minorHAnsi"/>
          <w:u w:val="single"/>
        </w:rPr>
        <w:t>Not at high risk of CVD, CKD, or HF</w:t>
      </w:r>
      <w:r w:rsidRPr="00D9223A">
        <w:rPr>
          <w:rFonts w:eastAsia="Times New Roman" w:cstheme="minorHAnsi"/>
        </w:rPr>
        <w:t xml:space="preserve"> - </w:t>
      </w:r>
      <w:r w:rsidR="001D3E88" w:rsidRPr="00D9223A">
        <w:rPr>
          <w:rFonts w:eastAsia="Times New Roman" w:cstheme="minorHAnsi"/>
        </w:rPr>
        <w:t xml:space="preserve">Emphasize that this is the first time the ADA recommends clinicians look at the A1c. </w:t>
      </w:r>
      <w:r w:rsidR="00D9223A" w:rsidRPr="00D9223A">
        <w:rPr>
          <w:rFonts w:eastAsia="Times New Roman" w:cstheme="minorHAnsi"/>
        </w:rPr>
        <w:t xml:space="preserve">If </w:t>
      </w:r>
      <w:r w:rsidR="001D3E88" w:rsidRPr="00D9223A">
        <w:rPr>
          <w:rFonts w:eastAsia="Times New Roman" w:cstheme="minorHAnsi"/>
        </w:rPr>
        <w:t xml:space="preserve">A1c </w:t>
      </w:r>
      <w:r w:rsidR="00D9223A">
        <w:rPr>
          <w:rFonts w:eastAsia="Times New Roman" w:cstheme="minorHAnsi"/>
        </w:rPr>
        <w:t xml:space="preserve">is </w:t>
      </w:r>
      <w:r w:rsidR="001D3E88" w:rsidRPr="00D9223A">
        <w:rPr>
          <w:rFonts w:eastAsia="Times New Roman" w:cstheme="minorHAnsi"/>
        </w:rPr>
        <w:t>not at goal</w:t>
      </w:r>
      <w:r w:rsidR="00D9223A">
        <w:rPr>
          <w:rFonts w:eastAsia="Times New Roman" w:cstheme="minorHAnsi"/>
        </w:rPr>
        <w:t>, p</w:t>
      </w:r>
      <w:r w:rsidR="001D3E88" w:rsidRPr="00D9223A">
        <w:rPr>
          <w:rFonts w:eastAsia="Times New Roman" w:cstheme="minorHAnsi"/>
        </w:rPr>
        <w:t>rioritize further diabetes treatment on the following three priorities</w:t>
      </w:r>
      <w:r w:rsidR="00D9223A">
        <w:rPr>
          <w:rFonts w:eastAsia="Times New Roman" w:cstheme="minorHAnsi"/>
        </w:rPr>
        <w:t xml:space="preserve">. </w:t>
      </w:r>
      <w:r w:rsidR="00D9223A">
        <w:rPr>
          <w:rFonts w:eastAsia="Times New Roman" w:cstheme="minorHAnsi"/>
          <w:i/>
          <w:iCs/>
        </w:rPr>
        <w:t>Click on “A1c not at goal” to reveal these priorities.</w:t>
      </w:r>
    </w:p>
    <w:p w14:paraId="23A08C16" w14:textId="64963F38" w:rsidR="001D3E88" w:rsidRPr="00C07DFC" w:rsidRDefault="001D3E88" w:rsidP="003138B1">
      <w:pPr>
        <w:pStyle w:val="ListParagraph"/>
        <w:numPr>
          <w:ilvl w:val="2"/>
          <w:numId w:val="15"/>
        </w:numPr>
        <w:spacing w:after="0" w:line="240" w:lineRule="auto"/>
        <w:rPr>
          <w:rFonts w:eastAsia="Times New Roman" w:cstheme="minorHAnsi"/>
        </w:rPr>
      </w:pPr>
      <w:r w:rsidRPr="00D9223A">
        <w:rPr>
          <w:rFonts w:eastAsia="Times New Roman" w:cstheme="minorHAnsi"/>
          <w:i/>
          <w:iCs/>
        </w:rPr>
        <w:t>Weight loss</w:t>
      </w:r>
      <w:r w:rsidR="00D9223A">
        <w:rPr>
          <w:rFonts w:eastAsia="Times New Roman" w:cstheme="minorHAnsi"/>
        </w:rPr>
        <w:t xml:space="preserve"> </w:t>
      </w:r>
      <w:r w:rsidRPr="00C07DFC">
        <w:rPr>
          <w:rFonts w:eastAsia="Times New Roman" w:cstheme="minorHAnsi"/>
        </w:rPr>
        <w:t>– Recommendation to prescribe first a GLP1 then second a SGLT2 before advancing past this step</w:t>
      </w:r>
      <w:r w:rsidR="00E828AF" w:rsidRPr="00C07DFC">
        <w:rPr>
          <w:rFonts w:eastAsia="Times New Roman" w:cstheme="minorHAnsi"/>
        </w:rPr>
        <w:t xml:space="preserve">. Depending on the med / patient population, GLP1 RAs may </w:t>
      </w:r>
      <w:r w:rsidR="00BB0972" w:rsidRPr="00C07DFC">
        <w:rPr>
          <w:rFonts w:eastAsia="Times New Roman" w:cstheme="minorHAnsi"/>
        </w:rPr>
        <w:t>lead to 3-6 kg more weight loss than placebo. SGLT2 inhibitors showed approximately 3 kg more weight loss than placebo.</w:t>
      </w:r>
    </w:p>
    <w:p w14:paraId="31F81712" w14:textId="01BEAB23" w:rsidR="001D3E88" w:rsidRPr="00C07DFC" w:rsidRDefault="001D3E88" w:rsidP="003138B1">
      <w:pPr>
        <w:pStyle w:val="ListParagraph"/>
        <w:numPr>
          <w:ilvl w:val="2"/>
          <w:numId w:val="15"/>
        </w:numPr>
        <w:spacing w:after="0" w:line="240" w:lineRule="auto"/>
        <w:rPr>
          <w:rFonts w:eastAsia="Times New Roman" w:cstheme="minorHAnsi"/>
        </w:rPr>
      </w:pPr>
      <w:r w:rsidRPr="00D9223A">
        <w:rPr>
          <w:rFonts w:eastAsia="Times New Roman" w:cstheme="minorHAnsi"/>
          <w:i/>
          <w:iCs/>
        </w:rPr>
        <w:t>Cost</w:t>
      </w:r>
      <w:r w:rsidRPr="00C07DFC">
        <w:rPr>
          <w:rFonts w:eastAsia="Times New Roman" w:cstheme="minorHAnsi"/>
        </w:rPr>
        <w:t xml:space="preserve"> </w:t>
      </w:r>
      <w:r w:rsidR="00350B21" w:rsidRPr="00C07DFC">
        <w:rPr>
          <w:rFonts w:eastAsia="Times New Roman" w:cstheme="minorHAnsi"/>
        </w:rPr>
        <w:t>–</w:t>
      </w:r>
      <w:r w:rsidRPr="00C07DFC">
        <w:rPr>
          <w:rFonts w:eastAsia="Times New Roman" w:cstheme="minorHAnsi"/>
        </w:rPr>
        <w:t xml:space="preserve"> </w:t>
      </w:r>
      <w:r w:rsidR="00350B21" w:rsidRPr="00C07DFC">
        <w:rPr>
          <w:rFonts w:eastAsia="Times New Roman" w:cstheme="minorHAnsi"/>
        </w:rPr>
        <w:t>Pending the drug formulary of the patient’s insurance, SGLT2 and GLP1s may not be offered</w:t>
      </w:r>
    </w:p>
    <w:p w14:paraId="479C9B8F" w14:textId="519DE04E" w:rsidR="00350B21" w:rsidRPr="00C07DFC" w:rsidRDefault="00350B21" w:rsidP="003138B1">
      <w:pPr>
        <w:pStyle w:val="ListParagraph"/>
        <w:numPr>
          <w:ilvl w:val="2"/>
          <w:numId w:val="15"/>
        </w:numPr>
        <w:spacing w:after="0" w:line="240" w:lineRule="auto"/>
        <w:rPr>
          <w:rFonts w:eastAsia="Times New Roman" w:cstheme="minorHAnsi"/>
        </w:rPr>
      </w:pPr>
      <w:r w:rsidRPr="00D9223A">
        <w:rPr>
          <w:rFonts w:eastAsia="Times New Roman" w:cstheme="minorHAnsi"/>
          <w:i/>
          <w:iCs/>
        </w:rPr>
        <w:t>Avoid hyperglycemia</w:t>
      </w:r>
      <w:r w:rsidRPr="00C07DFC">
        <w:rPr>
          <w:rFonts w:eastAsia="Times New Roman" w:cstheme="minorHAnsi"/>
          <w:b/>
          <w:bCs/>
        </w:rPr>
        <w:t xml:space="preserve"> </w:t>
      </w:r>
      <w:r w:rsidRPr="00C07DFC">
        <w:rPr>
          <w:rFonts w:eastAsia="Times New Roman" w:cstheme="minorHAnsi"/>
        </w:rPr>
        <w:t>– most important in our elderly patients and those patients with many comorbidities such as cognitive difficulties</w:t>
      </w:r>
      <w:r w:rsidR="0030756E" w:rsidRPr="00C07DFC">
        <w:rPr>
          <w:rFonts w:eastAsia="Times New Roman" w:cstheme="minorHAnsi"/>
        </w:rPr>
        <w:t>, for whom we liberalize the target A1c to 8-8.5%</w:t>
      </w:r>
    </w:p>
    <w:p w14:paraId="6655A589" w14:textId="0FD915C7" w:rsidR="00624DE0" w:rsidRDefault="00D9223A" w:rsidP="003138B1">
      <w:pPr>
        <w:pStyle w:val="ListParagraph"/>
        <w:numPr>
          <w:ilvl w:val="2"/>
          <w:numId w:val="15"/>
        </w:numPr>
        <w:spacing w:after="0" w:line="240" w:lineRule="auto"/>
        <w:rPr>
          <w:rFonts w:eastAsia="Times New Roman" w:cstheme="minorHAnsi"/>
        </w:rPr>
      </w:pPr>
      <w:r w:rsidRPr="00D9223A">
        <w:rPr>
          <w:rFonts w:eastAsia="Times New Roman" w:cstheme="minorHAnsi"/>
        </w:rPr>
        <w:t>If despite the above measures, A1c is still not at goal,</w:t>
      </w:r>
      <w:r>
        <w:rPr>
          <w:rFonts w:eastAsia="Times New Roman" w:cstheme="minorHAnsi"/>
          <w:b/>
          <w:bCs/>
        </w:rPr>
        <w:t xml:space="preserve"> </w:t>
      </w:r>
      <w:r w:rsidR="00350B21" w:rsidRPr="00C07DFC">
        <w:rPr>
          <w:rFonts w:eastAsia="Times New Roman" w:cstheme="minorHAnsi"/>
        </w:rPr>
        <w:t>– this is when a sulfonylurea or insulin is added. The ADA strongly recommends that all patients on insulin should be on a GLP1 if tolerated (and covered by insurance).</w:t>
      </w:r>
      <w:r w:rsidR="00604754" w:rsidRPr="00C07DFC">
        <w:rPr>
          <w:rFonts w:eastAsia="Times New Roman" w:cstheme="minorHAnsi"/>
        </w:rPr>
        <w:t xml:space="preserve"> By</w:t>
      </w:r>
      <w:r w:rsidR="00350B21" w:rsidRPr="00C07DFC">
        <w:rPr>
          <w:rFonts w:eastAsia="Times New Roman" w:cstheme="minorHAnsi"/>
        </w:rPr>
        <w:t xml:space="preserve"> their treatment algorithm</w:t>
      </w:r>
      <w:r w:rsidR="00604754" w:rsidRPr="00C07DFC">
        <w:rPr>
          <w:rFonts w:eastAsia="Times New Roman" w:cstheme="minorHAnsi"/>
        </w:rPr>
        <w:t>,</w:t>
      </w:r>
      <w:r w:rsidR="00350B21" w:rsidRPr="00C07DFC">
        <w:rPr>
          <w:rFonts w:eastAsia="Times New Roman" w:cstheme="minorHAnsi"/>
        </w:rPr>
        <w:t xml:space="preserve"> most patients on insulin would also be on a</w:t>
      </w:r>
      <w:r w:rsidR="00F43BE4" w:rsidRPr="00C07DFC">
        <w:rPr>
          <w:rFonts w:eastAsia="Times New Roman" w:cstheme="minorHAnsi"/>
        </w:rPr>
        <w:t>n</w:t>
      </w:r>
      <w:r w:rsidR="00350B21" w:rsidRPr="00C07DFC">
        <w:rPr>
          <w:rFonts w:eastAsia="Times New Roman" w:cstheme="minorHAnsi"/>
        </w:rPr>
        <w:t xml:space="preserve"> SGLT2 and metformin.</w:t>
      </w:r>
    </w:p>
    <w:p w14:paraId="162524E6" w14:textId="32166B18" w:rsidR="00CB7237" w:rsidRDefault="00CB7237" w:rsidP="003138B1">
      <w:pPr>
        <w:pStyle w:val="ListParagraph"/>
        <w:numPr>
          <w:ilvl w:val="2"/>
          <w:numId w:val="15"/>
        </w:numPr>
        <w:spacing w:after="0" w:line="240" w:lineRule="auto"/>
        <w:rPr>
          <w:rFonts w:eastAsia="Times New Roman" w:cstheme="minorHAnsi"/>
        </w:rPr>
      </w:pPr>
      <w:r>
        <w:rPr>
          <w:rFonts w:eastAsia="Times New Roman" w:cstheme="minorHAnsi"/>
        </w:rPr>
        <w:t>It is common to initiate insulin therapy along with other therapies when hyperglycemia is severe (BG &gt; 300 mg/dL, A1c &gt;10%, or the patient has symptoms of hyperglycemia). As symptoms of severe hyperglycemia resolve, the regimen may be changed or simplified to noninsulin agents.</w:t>
      </w:r>
    </w:p>
    <w:p w14:paraId="1A58B733" w14:textId="71778317" w:rsidR="00874CDC" w:rsidRPr="003138B1" w:rsidRDefault="003138B1" w:rsidP="00D5720E">
      <w:pPr>
        <w:pStyle w:val="ListParagraph"/>
        <w:numPr>
          <w:ilvl w:val="0"/>
          <w:numId w:val="15"/>
        </w:numPr>
        <w:spacing w:after="0" w:line="240" w:lineRule="auto"/>
        <w:rPr>
          <w:rFonts w:eastAsia="Times New Roman" w:cstheme="minorHAnsi"/>
        </w:rPr>
      </w:pPr>
      <w:r w:rsidRPr="003138B1">
        <w:rPr>
          <w:rFonts w:eastAsia="Times New Roman" w:cstheme="minorHAnsi"/>
          <w:i/>
          <w:iCs/>
          <w:u w:val="single"/>
        </w:rPr>
        <w:t>Interventions</w:t>
      </w:r>
      <w:r w:rsidRPr="003138B1">
        <w:rPr>
          <w:rFonts w:eastAsia="Times New Roman" w:cstheme="minorHAnsi"/>
        </w:rPr>
        <w:t xml:space="preserve"> - </w:t>
      </w:r>
      <w:r w:rsidR="00D9223A" w:rsidRPr="003138B1">
        <w:rPr>
          <w:rFonts w:eastAsia="Times New Roman" w:cstheme="minorHAnsi"/>
          <w:i/>
          <w:iCs/>
        </w:rPr>
        <w:t xml:space="preserve">For specific discussion of each of these medications and interventions, click on the “Interventions” page for an </w:t>
      </w:r>
      <w:r w:rsidR="004B235B" w:rsidRPr="003138B1">
        <w:rPr>
          <w:rFonts w:eastAsia="Times New Roman" w:cstheme="minorHAnsi"/>
          <w:i/>
          <w:iCs/>
        </w:rPr>
        <w:t>in-depth</w:t>
      </w:r>
      <w:r w:rsidR="00D9223A" w:rsidRPr="003138B1">
        <w:rPr>
          <w:rFonts w:eastAsia="Times New Roman" w:cstheme="minorHAnsi"/>
          <w:i/>
          <w:iCs/>
        </w:rPr>
        <w:t xml:space="preserve"> discussion</w:t>
      </w:r>
      <w:r w:rsidR="00D9223A" w:rsidRPr="003138B1">
        <w:rPr>
          <w:rFonts w:eastAsia="Times New Roman" w:cstheme="minorHAnsi"/>
        </w:rPr>
        <w:t xml:space="preserve">. This page </w:t>
      </w:r>
      <w:r w:rsidR="00B3720E" w:rsidRPr="003138B1">
        <w:rPr>
          <w:rFonts w:eastAsia="Times New Roman" w:cstheme="minorHAnsi"/>
        </w:rPr>
        <w:t xml:space="preserve">provides a chart with information </w:t>
      </w:r>
      <w:r w:rsidR="005E4C7C" w:rsidRPr="003138B1">
        <w:rPr>
          <w:rFonts w:eastAsia="Times New Roman" w:cstheme="minorHAnsi"/>
        </w:rPr>
        <w:t>about each class of medications recommended for use in T2DM. The following slide focuses on non-pharmacologic interventions (weight loss, bariatric surgery). To aid in teaching, a more detailed chart is provided below</w:t>
      </w:r>
      <w:r w:rsidR="006D31C4" w:rsidRPr="003138B1">
        <w:rPr>
          <w:rFonts w:eastAsia="Times New Roman" w:cstheme="minorHAnsi"/>
        </w:rPr>
        <w:t>:</w:t>
      </w:r>
    </w:p>
    <w:tbl>
      <w:tblPr>
        <w:tblStyle w:val="TableGrid"/>
        <w:tblW w:w="0" w:type="auto"/>
        <w:tblLook w:val="04A0" w:firstRow="1" w:lastRow="0" w:firstColumn="1" w:lastColumn="0" w:noHBand="0" w:noVBand="1"/>
      </w:tblPr>
      <w:tblGrid>
        <w:gridCol w:w="2875"/>
        <w:gridCol w:w="2519"/>
        <w:gridCol w:w="3804"/>
        <w:gridCol w:w="1592"/>
      </w:tblGrid>
      <w:tr w:rsidR="00874CDC" w14:paraId="2CFE4F64" w14:textId="77777777" w:rsidTr="00047D4C">
        <w:tc>
          <w:tcPr>
            <w:tcW w:w="2875" w:type="dxa"/>
            <w:shd w:val="clear" w:color="auto" w:fill="E7E6E6" w:themeFill="background2"/>
            <w:vAlign w:val="center"/>
          </w:tcPr>
          <w:p w14:paraId="5E1CEAC6" w14:textId="45688B79" w:rsidR="00874CDC" w:rsidRPr="00874CDC" w:rsidRDefault="00874CDC" w:rsidP="00874CDC">
            <w:pPr>
              <w:jc w:val="center"/>
              <w:rPr>
                <w:rFonts w:eastAsia="Times New Roman" w:cstheme="minorHAnsi"/>
                <w:b/>
                <w:bCs/>
              </w:rPr>
            </w:pPr>
            <w:bookmarkStart w:id="0" w:name="_Hlk99533397"/>
            <w:r w:rsidRPr="00874CDC">
              <w:rPr>
                <w:rFonts w:eastAsia="Times New Roman" w:cstheme="minorHAnsi"/>
                <w:b/>
                <w:bCs/>
              </w:rPr>
              <w:t>Class</w:t>
            </w:r>
          </w:p>
        </w:tc>
        <w:tc>
          <w:tcPr>
            <w:tcW w:w="2519" w:type="dxa"/>
            <w:shd w:val="clear" w:color="auto" w:fill="E7E6E6" w:themeFill="background2"/>
            <w:vAlign w:val="center"/>
          </w:tcPr>
          <w:p w14:paraId="1667A13F" w14:textId="679D863B" w:rsidR="00874CDC" w:rsidRPr="00874CDC" w:rsidRDefault="00874CDC" w:rsidP="00874CDC">
            <w:pPr>
              <w:jc w:val="center"/>
              <w:rPr>
                <w:rFonts w:eastAsia="Times New Roman" w:cstheme="minorHAnsi"/>
                <w:b/>
                <w:bCs/>
              </w:rPr>
            </w:pPr>
            <w:r w:rsidRPr="00874CDC">
              <w:rPr>
                <w:rFonts w:eastAsia="Times New Roman" w:cstheme="minorHAnsi"/>
                <w:b/>
                <w:bCs/>
              </w:rPr>
              <w:t>Benefits</w:t>
            </w:r>
          </w:p>
        </w:tc>
        <w:tc>
          <w:tcPr>
            <w:tcW w:w="3804" w:type="dxa"/>
            <w:shd w:val="clear" w:color="auto" w:fill="E7E6E6" w:themeFill="background2"/>
            <w:vAlign w:val="center"/>
          </w:tcPr>
          <w:p w14:paraId="20A1B645" w14:textId="2FCD967C" w:rsidR="00874CDC" w:rsidRPr="00874CDC" w:rsidRDefault="00874CDC" w:rsidP="00874CDC">
            <w:pPr>
              <w:jc w:val="center"/>
              <w:rPr>
                <w:rFonts w:eastAsia="Times New Roman" w:cstheme="minorHAnsi"/>
                <w:b/>
                <w:bCs/>
              </w:rPr>
            </w:pPr>
            <w:r w:rsidRPr="00874CDC">
              <w:rPr>
                <w:rFonts w:eastAsia="Times New Roman" w:cstheme="minorHAnsi"/>
                <w:b/>
                <w:bCs/>
              </w:rPr>
              <w:t>Side Effects/ Contraindications</w:t>
            </w:r>
          </w:p>
        </w:tc>
        <w:tc>
          <w:tcPr>
            <w:tcW w:w="1592" w:type="dxa"/>
            <w:shd w:val="clear" w:color="auto" w:fill="E7E6E6" w:themeFill="background2"/>
            <w:vAlign w:val="center"/>
          </w:tcPr>
          <w:p w14:paraId="76DA3A5F" w14:textId="5F8661B6" w:rsidR="00874CDC" w:rsidRPr="00874CDC" w:rsidRDefault="00874CDC" w:rsidP="00874CDC">
            <w:pPr>
              <w:jc w:val="center"/>
              <w:rPr>
                <w:rFonts w:eastAsia="Times New Roman" w:cstheme="minorHAnsi"/>
                <w:b/>
                <w:bCs/>
              </w:rPr>
            </w:pPr>
            <w:r>
              <w:rPr>
                <w:rFonts w:eastAsia="Times New Roman" w:cstheme="minorHAnsi"/>
                <w:b/>
                <w:bCs/>
              </w:rPr>
              <w:t>A1c effect</w:t>
            </w:r>
          </w:p>
        </w:tc>
      </w:tr>
      <w:tr w:rsidR="00874CDC" w14:paraId="49939295" w14:textId="77777777" w:rsidTr="00930013">
        <w:tc>
          <w:tcPr>
            <w:tcW w:w="2875" w:type="dxa"/>
            <w:vAlign w:val="center"/>
          </w:tcPr>
          <w:p w14:paraId="4E1EB460" w14:textId="77777777" w:rsidR="00874CDC" w:rsidRDefault="00874CDC" w:rsidP="00874CDC">
            <w:pPr>
              <w:jc w:val="center"/>
              <w:rPr>
                <w:rFonts w:eastAsia="Times New Roman" w:cstheme="minorHAnsi"/>
                <w:b/>
                <w:bCs/>
              </w:rPr>
            </w:pPr>
            <w:r w:rsidRPr="00874CDC">
              <w:rPr>
                <w:rFonts w:eastAsia="Times New Roman" w:cstheme="minorHAnsi"/>
                <w:b/>
                <w:bCs/>
              </w:rPr>
              <w:t>Metformin</w:t>
            </w:r>
          </w:p>
          <w:p w14:paraId="333872FD" w14:textId="1711B678" w:rsidR="00874CDC" w:rsidRPr="00874CDC" w:rsidRDefault="00874CDC" w:rsidP="00874CDC">
            <w:pPr>
              <w:jc w:val="center"/>
              <w:rPr>
                <w:rFonts w:eastAsia="Times New Roman" w:cstheme="minorHAnsi"/>
              </w:rPr>
            </w:pPr>
            <w:r>
              <w:rPr>
                <w:rFonts w:eastAsia="Times New Roman" w:cstheme="minorHAnsi"/>
              </w:rPr>
              <w:t>PO|$</w:t>
            </w:r>
          </w:p>
        </w:tc>
        <w:tc>
          <w:tcPr>
            <w:tcW w:w="2519" w:type="dxa"/>
            <w:vAlign w:val="center"/>
          </w:tcPr>
          <w:p w14:paraId="1FCC4603" w14:textId="77777777" w:rsidR="00874CDC" w:rsidRDefault="00874CDC" w:rsidP="00874CDC">
            <w:pPr>
              <w:jc w:val="center"/>
              <w:rPr>
                <w:rFonts w:eastAsia="Times New Roman" w:cstheme="minorHAnsi"/>
              </w:rPr>
            </w:pPr>
            <w:r>
              <w:rPr>
                <w:rFonts w:eastAsia="Times New Roman" w:cstheme="minorHAnsi"/>
              </w:rPr>
              <w:t xml:space="preserve">Weight neutral </w:t>
            </w:r>
          </w:p>
          <w:p w14:paraId="17A02E94" w14:textId="76CE1D42" w:rsidR="00874CDC" w:rsidRDefault="00874CDC" w:rsidP="00874CDC">
            <w:pPr>
              <w:jc w:val="center"/>
              <w:rPr>
                <w:rFonts w:eastAsia="Times New Roman" w:cstheme="minorHAnsi"/>
              </w:rPr>
            </w:pPr>
            <w:r>
              <w:rPr>
                <w:rFonts w:eastAsia="Times New Roman" w:cstheme="minorHAnsi"/>
              </w:rPr>
              <w:t>Possible ↓ ASCVD risk</w:t>
            </w:r>
          </w:p>
        </w:tc>
        <w:tc>
          <w:tcPr>
            <w:tcW w:w="3804" w:type="dxa"/>
            <w:vAlign w:val="center"/>
          </w:tcPr>
          <w:p w14:paraId="4DC9D752" w14:textId="77777777" w:rsidR="00874CDC" w:rsidRDefault="00874CDC" w:rsidP="00874CDC">
            <w:pPr>
              <w:jc w:val="center"/>
              <w:rPr>
                <w:rFonts w:eastAsia="Times New Roman" w:cstheme="minorHAnsi"/>
              </w:rPr>
            </w:pPr>
            <w:r>
              <w:rPr>
                <w:rFonts w:eastAsia="Times New Roman" w:cstheme="minorHAnsi"/>
              </w:rPr>
              <w:t>GI side effects (lower in ER formulation or when slowly uptitrated)</w:t>
            </w:r>
          </w:p>
          <w:p w14:paraId="3D6492A4" w14:textId="77777777" w:rsidR="00874CDC" w:rsidRDefault="00874CDC" w:rsidP="00930013">
            <w:pPr>
              <w:jc w:val="center"/>
              <w:rPr>
                <w:rFonts w:eastAsia="Times New Roman" w:cstheme="minorHAnsi"/>
              </w:rPr>
            </w:pPr>
            <w:r>
              <w:rPr>
                <w:rFonts w:eastAsia="Times New Roman" w:cstheme="minorHAnsi"/>
              </w:rPr>
              <w:t>Avoid in GFR &lt; 30</w:t>
            </w:r>
            <w:r w:rsidR="00930013">
              <w:rPr>
                <w:rFonts w:eastAsia="Times New Roman" w:cstheme="minorHAnsi"/>
              </w:rPr>
              <w:t xml:space="preserve"> (r</w:t>
            </w:r>
            <w:r>
              <w:rPr>
                <w:rFonts w:eastAsia="Times New Roman" w:cstheme="minorHAnsi"/>
              </w:rPr>
              <w:t>isk of lactic acidosis</w:t>
            </w:r>
            <w:r w:rsidR="00930013">
              <w:rPr>
                <w:rFonts w:eastAsia="Times New Roman" w:cstheme="minorHAnsi"/>
              </w:rPr>
              <w:t>)</w:t>
            </w:r>
          </w:p>
          <w:p w14:paraId="77278EFF" w14:textId="2B991AA4" w:rsidR="00930013" w:rsidRDefault="00930013" w:rsidP="00930013">
            <w:pPr>
              <w:jc w:val="center"/>
              <w:rPr>
                <w:rFonts w:eastAsia="Times New Roman" w:cstheme="minorHAnsi"/>
              </w:rPr>
            </w:pPr>
            <w:r>
              <w:rPr>
                <w:rFonts w:eastAsia="Times New Roman" w:cstheme="minorHAnsi"/>
              </w:rPr>
              <w:t>Neuropathy, B12 deficiency</w:t>
            </w:r>
          </w:p>
        </w:tc>
        <w:tc>
          <w:tcPr>
            <w:tcW w:w="1592" w:type="dxa"/>
            <w:vAlign w:val="center"/>
          </w:tcPr>
          <w:p w14:paraId="43A5C56C" w14:textId="21C40DF8" w:rsidR="00874CDC" w:rsidRDefault="00874CDC" w:rsidP="00874CDC">
            <w:pPr>
              <w:jc w:val="center"/>
              <w:rPr>
                <w:rFonts w:eastAsia="Times New Roman" w:cstheme="minorHAnsi"/>
              </w:rPr>
            </w:pPr>
            <w:r>
              <w:rPr>
                <w:rFonts w:eastAsia="Times New Roman" w:cstheme="minorHAnsi"/>
              </w:rPr>
              <w:t>1-2%</w:t>
            </w:r>
          </w:p>
        </w:tc>
      </w:tr>
      <w:tr w:rsidR="00874CDC" w14:paraId="241F69F4" w14:textId="77777777" w:rsidTr="00047D4C">
        <w:tc>
          <w:tcPr>
            <w:tcW w:w="2875" w:type="dxa"/>
            <w:shd w:val="clear" w:color="auto" w:fill="E7E6E6" w:themeFill="background2"/>
            <w:vAlign w:val="center"/>
          </w:tcPr>
          <w:p w14:paraId="614D72DE" w14:textId="77777777" w:rsidR="00874CDC" w:rsidRDefault="00874CDC" w:rsidP="00874CDC">
            <w:pPr>
              <w:jc w:val="center"/>
              <w:rPr>
                <w:rFonts w:eastAsia="Times New Roman" w:cstheme="minorHAnsi"/>
              </w:rPr>
            </w:pPr>
            <w:r>
              <w:rPr>
                <w:rFonts w:eastAsia="Times New Roman" w:cstheme="minorHAnsi"/>
                <w:b/>
                <w:bCs/>
              </w:rPr>
              <w:t>GLP1 agonists</w:t>
            </w:r>
          </w:p>
          <w:p w14:paraId="1BE70448" w14:textId="342D2F06" w:rsidR="00874CDC" w:rsidRDefault="00874CDC" w:rsidP="00874CDC">
            <w:pPr>
              <w:jc w:val="center"/>
              <w:rPr>
                <w:rFonts w:eastAsia="Times New Roman" w:cstheme="minorHAnsi"/>
              </w:rPr>
            </w:pPr>
            <w:r>
              <w:rPr>
                <w:rFonts w:eastAsia="Times New Roman" w:cstheme="minorHAnsi"/>
              </w:rPr>
              <w:t>SQ (*</w:t>
            </w:r>
            <w:r w:rsidR="000767DB">
              <w:rPr>
                <w:rFonts w:eastAsia="Times New Roman" w:cstheme="minorHAnsi"/>
              </w:rPr>
              <w:t>PO)|</w:t>
            </w:r>
            <w:r>
              <w:rPr>
                <w:rFonts w:eastAsia="Times New Roman" w:cstheme="minorHAnsi"/>
              </w:rPr>
              <w:t>$$$</w:t>
            </w:r>
          </w:p>
          <w:p w14:paraId="3D6B2982" w14:textId="26243A56" w:rsidR="00874CDC" w:rsidRPr="00874CDC" w:rsidRDefault="00874CDC" w:rsidP="00874CDC">
            <w:pPr>
              <w:jc w:val="center"/>
              <w:rPr>
                <w:rFonts w:eastAsia="Times New Roman" w:cstheme="minorHAnsi"/>
              </w:rPr>
            </w:pPr>
            <w:r>
              <w:rPr>
                <w:rFonts w:eastAsia="Times New Roman" w:cstheme="minorHAnsi"/>
              </w:rPr>
              <w:t>(liraglutide, duraglutide, exenatide, semaglutide*)</w:t>
            </w:r>
          </w:p>
        </w:tc>
        <w:tc>
          <w:tcPr>
            <w:tcW w:w="2519" w:type="dxa"/>
            <w:shd w:val="clear" w:color="auto" w:fill="E7E6E6" w:themeFill="background2"/>
            <w:vAlign w:val="center"/>
          </w:tcPr>
          <w:p w14:paraId="55576154" w14:textId="77777777" w:rsidR="00874CDC" w:rsidRDefault="00874CDC" w:rsidP="00874CDC">
            <w:pPr>
              <w:jc w:val="center"/>
              <w:rPr>
                <w:rFonts w:eastAsia="Times New Roman" w:cstheme="minorHAnsi"/>
              </w:rPr>
            </w:pPr>
            <w:r>
              <w:rPr>
                <w:rFonts w:eastAsia="Times New Roman" w:cstheme="minorHAnsi"/>
              </w:rPr>
              <w:t>Weight loss</w:t>
            </w:r>
          </w:p>
          <w:p w14:paraId="5A1022A6" w14:textId="77777777" w:rsidR="00874CDC" w:rsidRDefault="00874CDC" w:rsidP="00874CDC">
            <w:pPr>
              <w:jc w:val="center"/>
              <w:rPr>
                <w:rFonts w:eastAsia="Times New Roman" w:cstheme="minorHAnsi"/>
              </w:rPr>
            </w:pPr>
            <w:r>
              <w:rPr>
                <w:rFonts w:eastAsia="Times New Roman" w:cstheme="minorHAnsi"/>
              </w:rPr>
              <w:t>↓ major CVD events</w:t>
            </w:r>
          </w:p>
          <w:p w14:paraId="53242FBA" w14:textId="11079DEB" w:rsidR="000767DB" w:rsidRDefault="000767DB" w:rsidP="00874CDC">
            <w:pPr>
              <w:jc w:val="center"/>
              <w:rPr>
                <w:rFonts w:eastAsia="Times New Roman" w:cstheme="minorHAnsi"/>
              </w:rPr>
            </w:pPr>
            <w:r>
              <w:rPr>
                <w:rFonts w:eastAsia="Times New Roman" w:cstheme="minorHAnsi"/>
              </w:rPr>
              <w:t>Improves renal outcomes</w:t>
            </w:r>
          </w:p>
        </w:tc>
        <w:tc>
          <w:tcPr>
            <w:tcW w:w="3804" w:type="dxa"/>
            <w:shd w:val="clear" w:color="auto" w:fill="E7E6E6" w:themeFill="background2"/>
            <w:vAlign w:val="center"/>
          </w:tcPr>
          <w:p w14:paraId="6FA3146A" w14:textId="77777777" w:rsidR="00874CDC" w:rsidRDefault="00874CDC" w:rsidP="00874CDC">
            <w:pPr>
              <w:jc w:val="center"/>
              <w:rPr>
                <w:rFonts w:eastAsia="Times New Roman" w:cstheme="minorHAnsi"/>
              </w:rPr>
            </w:pPr>
            <w:r>
              <w:rPr>
                <w:rFonts w:eastAsia="Times New Roman" w:cstheme="minorHAnsi"/>
              </w:rPr>
              <w:t>GI side effects</w:t>
            </w:r>
          </w:p>
          <w:p w14:paraId="6FE40898" w14:textId="77777777" w:rsidR="00874CDC" w:rsidRDefault="00874CDC" w:rsidP="00874CDC">
            <w:pPr>
              <w:jc w:val="center"/>
              <w:rPr>
                <w:rFonts w:eastAsia="Times New Roman" w:cstheme="minorHAnsi"/>
              </w:rPr>
            </w:pPr>
            <w:r>
              <w:rPr>
                <w:rFonts w:eastAsia="Times New Roman" w:cstheme="minorHAnsi"/>
              </w:rPr>
              <w:t>Potential risk of thyroid C-cell tumor</w:t>
            </w:r>
          </w:p>
          <w:p w14:paraId="2E47C1B2" w14:textId="4A14ADF5" w:rsidR="00874CDC" w:rsidRDefault="00874CDC" w:rsidP="00874CDC">
            <w:pPr>
              <w:jc w:val="center"/>
              <w:rPr>
                <w:rFonts w:eastAsia="Times New Roman" w:cstheme="minorHAnsi"/>
              </w:rPr>
            </w:pPr>
            <w:r>
              <w:rPr>
                <w:rFonts w:eastAsia="Times New Roman" w:cstheme="minorHAnsi"/>
              </w:rPr>
              <w:t>Pancreatitis</w:t>
            </w:r>
          </w:p>
        </w:tc>
        <w:tc>
          <w:tcPr>
            <w:tcW w:w="1592" w:type="dxa"/>
            <w:shd w:val="clear" w:color="auto" w:fill="E7E6E6" w:themeFill="background2"/>
            <w:vAlign w:val="center"/>
          </w:tcPr>
          <w:p w14:paraId="11DE9C50" w14:textId="74EAA90A" w:rsidR="00874CDC" w:rsidRDefault="00874CDC" w:rsidP="00874CDC">
            <w:pPr>
              <w:jc w:val="center"/>
              <w:rPr>
                <w:rFonts w:eastAsia="Times New Roman" w:cstheme="minorHAnsi"/>
              </w:rPr>
            </w:pPr>
            <w:r>
              <w:rPr>
                <w:rFonts w:eastAsia="Times New Roman" w:cstheme="minorHAnsi"/>
              </w:rPr>
              <w:t>0.5-1.5%</w:t>
            </w:r>
          </w:p>
        </w:tc>
      </w:tr>
      <w:tr w:rsidR="00874CDC" w14:paraId="71A5AA34" w14:textId="77777777" w:rsidTr="00930013">
        <w:tc>
          <w:tcPr>
            <w:tcW w:w="2875" w:type="dxa"/>
            <w:vAlign w:val="center"/>
          </w:tcPr>
          <w:p w14:paraId="3EA49343" w14:textId="77777777" w:rsidR="00874CDC" w:rsidRDefault="00874CDC" w:rsidP="00874CDC">
            <w:pPr>
              <w:jc w:val="center"/>
              <w:rPr>
                <w:rFonts w:eastAsia="Times New Roman" w:cstheme="minorHAnsi"/>
                <w:b/>
                <w:bCs/>
              </w:rPr>
            </w:pPr>
            <w:r>
              <w:rPr>
                <w:rFonts w:eastAsia="Times New Roman" w:cstheme="minorHAnsi"/>
                <w:b/>
                <w:bCs/>
              </w:rPr>
              <w:t>SGLT2 inhibitors</w:t>
            </w:r>
          </w:p>
          <w:p w14:paraId="0D7C70C1" w14:textId="77777777" w:rsidR="00874CDC" w:rsidRPr="00874CDC" w:rsidRDefault="00874CDC" w:rsidP="00874CDC">
            <w:pPr>
              <w:jc w:val="center"/>
              <w:rPr>
                <w:rFonts w:eastAsia="Times New Roman" w:cstheme="minorHAnsi"/>
              </w:rPr>
            </w:pPr>
            <w:r w:rsidRPr="00874CDC">
              <w:rPr>
                <w:rFonts w:eastAsia="Times New Roman" w:cstheme="minorHAnsi"/>
              </w:rPr>
              <w:t>PO|$$$</w:t>
            </w:r>
          </w:p>
          <w:p w14:paraId="589C4BA4" w14:textId="16B0A6CF" w:rsidR="00874CDC" w:rsidRDefault="00874CDC" w:rsidP="00874CDC">
            <w:pPr>
              <w:jc w:val="center"/>
              <w:rPr>
                <w:rFonts w:eastAsia="Times New Roman" w:cstheme="minorHAnsi"/>
                <w:b/>
                <w:bCs/>
              </w:rPr>
            </w:pPr>
            <w:r w:rsidRPr="00874CDC">
              <w:rPr>
                <w:rFonts w:eastAsia="Times New Roman" w:cstheme="minorHAnsi"/>
              </w:rPr>
              <w:t>(canagliflozin, empagliflozin, dapagliflozin)</w:t>
            </w:r>
          </w:p>
        </w:tc>
        <w:tc>
          <w:tcPr>
            <w:tcW w:w="2519" w:type="dxa"/>
            <w:vAlign w:val="center"/>
          </w:tcPr>
          <w:p w14:paraId="6BA87804" w14:textId="77777777" w:rsidR="00874CDC" w:rsidRDefault="00874CDC" w:rsidP="00874CDC">
            <w:pPr>
              <w:jc w:val="center"/>
              <w:rPr>
                <w:rFonts w:eastAsia="Times New Roman" w:cstheme="minorHAnsi"/>
              </w:rPr>
            </w:pPr>
            <w:r>
              <w:rPr>
                <w:rFonts w:eastAsia="Times New Roman" w:cstheme="minorHAnsi"/>
              </w:rPr>
              <w:t>Weight loss</w:t>
            </w:r>
          </w:p>
          <w:p w14:paraId="3C38278F" w14:textId="77777777" w:rsidR="00874CDC" w:rsidRDefault="00874CDC" w:rsidP="00874CDC">
            <w:pPr>
              <w:jc w:val="center"/>
              <w:rPr>
                <w:rFonts w:eastAsia="Times New Roman" w:cstheme="minorHAnsi"/>
              </w:rPr>
            </w:pPr>
            <w:r>
              <w:rPr>
                <w:rFonts w:eastAsia="Times New Roman" w:cstheme="minorHAnsi"/>
              </w:rPr>
              <w:t>↓ BP</w:t>
            </w:r>
          </w:p>
          <w:p w14:paraId="736C183B" w14:textId="77777777" w:rsidR="00874CDC" w:rsidRDefault="00874CDC" w:rsidP="00874CDC">
            <w:pPr>
              <w:jc w:val="center"/>
              <w:rPr>
                <w:rFonts w:eastAsia="Times New Roman" w:cstheme="minorHAnsi"/>
              </w:rPr>
            </w:pPr>
            <w:r>
              <w:rPr>
                <w:rFonts w:eastAsia="Times New Roman" w:cstheme="minorHAnsi"/>
              </w:rPr>
              <w:t>↓ major CVD events</w:t>
            </w:r>
          </w:p>
          <w:p w14:paraId="7F0EA9B7" w14:textId="7A4052E7" w:rsidR="00874CDC" w:rsidRDefault="00874CDC" w:rsidP="00874CDC">
            <w:pPr>
              <w:jc w:val="center"/>
              <w:rPr>
                <w:rFonts w:eastAsia="Times New Roman" w:cstheme="minorHAnsi"/>
              </w:rPr>
            </w:pPr>
            <w:r>
              <w:rPr>
                <w:rFonts w:eastAsia="Times New Roman" w:cstheme="minorHAnsi"/>
              </w:rPr>
              <w:t>Improves renal outcomes</w:t>
            </w:r>
          </w:p>
        </w:tc>
        <w:tc>
          <w:tcPr>
            <w:tcW w:w="3804" w:type="dxa"/>
            <w:vAlign w:val="center"/>
          </w:tcPr>
          <w:p w14:paraId="0C513A90" w14:textId="77777777" w:rsidR="00874CDC" w:rsidRDefault="00874CDC" w:rsidP="00874CDC">
            <w:pPr>
              <w:jc w:val="center"/>
              <w:rPr>
                <w:rFonts w:eastAsia="Times New Roman" w:cstheme="minorHAnsi"/>
              </w:rPr>
            </w:pPr>
            <w:r>
              <w:rPr>
                <w:rFonts w:eastAsia="Times New Roman" w:cstheme="minorHAnsi"/>
              </w:rPr>
              <w:t>Candidiasis, UTIs, Fournier’s</w:t>
            </w:r>
          </w:p>
          <w:p w14:paraId="3CDEC96F" w14:textId="77777777" w:rsidR="00874CDC" w:rsidRDefault="00874CDC" w:rsidP="00874CDC">
            <w:pPr>
              <w:jc w:val="center"/>
              <w:rPr>
                <w:rFonts w:eastAsia="Times New Roman" w:cstheme="minorHAnsi"/>
              </w:rPr>
            </w:pPr>
            <w:r>
              <w:rPr>
                <w:rFonts w:eastAsia="Times New Roman" w:cstheme="minorHAnsi"/>
              </w:rPr>
              <w:t>Euglycemic DKA</w:t>
            </w:r>
          </w:p>
          <w:p w14:paraId="02F0A958" w14:textId="77777777" w:rsidR="00874CDC" w:rsidRDefault="00874CDC" w:rsidP="00874CDC">
            <w:pPr>
              <w:jc w:val="center"/>
              <w:rPr>
                <w:rFonts w:eastAsia="Times New Roman" w:cstheme="minorHAnsi"/>
              </w:rPr>
            </w:pPr>
            <w:r>
              <w:rPr>
                <w:rFonts w:eastAsia="Times New Roman" w:cstheme="minorHAnsi"/>
              </w:rPr>
              <w:t>Hypotension</w:t>
            </w:r>
          </w:p>
          <w:p w14:paraId="407214B6" w14:textId="77777777" w:rsidR="00874CDC" w:rsidRDefault="00874CDC" w:rsidP="00874CDC">
            <w:pPr>
              <w:jc w:val="center"/>
              <w:rPr>
                <w:rFonts w:eastAsia="Times New Roman" w:cstheme="minorHAnsi"/>
              </w:rPr>
            </w:pPr>
            <w:r>
              <w:rPr>
                <w:rFonts w:eastAsia="Times New Roman" w:cstheme="minorHAnsi"/>
              </w:rPr>
              <w:t>Bone fractures (canagliflozin)</w:t>
            </w:r>
          </w:p>
          <w:p w14:paraId="7091DB32" w14:textId="5B381549" w:rsidR="00874CDC" w:rsidRDefault="00874CDC" w:rsidP="00874CDC">
            <w:pPr>
              <w:jc w:val="center"/>
              <w:rPr>
                <w:rFonts w:eastAsia="Times New Roman" w:cstheme="minorHAnsi"/>
              </w:rPr>
            </w:pPr>
            <w:r>
              <w:rPr>
                <w:rFonts w:eastAsia="Times New Roman" w:cstheme="minorHAnsi"/>
              </w:rPr>
              <w:t>Possible risk of amputations</w:t>
            </w:r>
          </w:p>
        </w:tc>
        <w:tc>
          <w:tcPr>
            <w:tcW w:w="1592" w:type="dxa"/>
            <w:vAlign w:val="center"/>
          </w:tcPr>
          <w:p w14:paraId="269307F9" w14:textId="7A62BFD0" w:rsidR="00874CDC" w:rsidRDefault="00874CDC" w:rsidP="00874CDC">
            <w:pPr>
              <w:jc w:val="center"/>
              <w:rPr>
                <w:rFonts w:eastAsia="Times New Roman" w:cstheme="minorHAnsi"/>
              </w:rPr>
            </w:pPr>
            <w:r>
              <w:rPr>
                <w:rFonts w:eastAsia="Times New Roman" w:cstheme="minorHAnsi"/>
              </w:rPr>
              <w:t>0.5-0.7%</w:t>
            </w:r>
          </w:p>
        </w:tc>
      </w:tr>
      <w:tr w:rsidR="00874CDC" w14:paraId="2A0D4EFF" w14:textId="77777777" w:rsidTr="00047D4C">
        <w:tc>
          <w:tcPr>
            <w:tcW w:w="2875" w:type="dxa"/>
            <w:shd w:val="clear" w:color="auto" w:fill="E7E6E6" w:themeFill="background2"/>
            <w:vAlign w:val="center"/>
          </w:tcPr>
          <w:p w14:paraId="5F772774" w14:textId="77777777" w:rsidR="00874CDC" w:rsidRDefault="00874CDC" w:rsidP="00874CDC">
            <w:pPr>
              <w:jc w:val="center"/>
              <w:rPr>
                <w:rFonts w:eastAsia="Times New Roman" w:cstheme="minorHAnsi"/>
                <w:b/>
                <w:bCs/>
              </w:rPr>
            </w:pPr>
            <w:r>
              <w:rPr>
                <w:rFonts w:eastAsia="Times New Roman" w:cstheme="minorHAnsi"/>
                <w:b/>
                <w:bCs/>
              </w:rPr>
              <w:t>Sulfonylureas</w:t>
            </w:r>
          </w:p>
          <w:p w14:paraId="5BEECBD1" w14:textId="77777777" w:rsidR="00874CDC" w:rsidRDefault="00874CDC" w:rsidP="00874CDC">
            <w:pPr>
              <w:jc w:val="center"/>
              <w:rPr>
                <w:rFonts w:eastAsia="Times New Roman" w:cstheme="minorHAnsi"/>
              </w:rPr>
            </w:pPr>
            <w:r>
              <w:rPr>
                <w:rFonts w:eastAsia="Times New Roman" w:cstheme="minorHAnsi"/>
              </w:rPr>
              <w:t>PO|$</w:t>
            </w:r>
          </w:p>
          <w:p w14:paraId="6C60A458" w14:textId="2283C3D1" w:rsidR="00874CDC" w:rsidRPr="00874CDC" w:rsidRDefault="00874CDC" w:rsidP="00874CDC">
            <w:pPr>
              <w:jc w:val="center"/>
              <w:rPr>
                <w:rFonts w:eastAsia="Times New Roman" w:cstheme="minorHAnsi"/>
              </w:rPr>
            </w:pPr>
            <w:r>
              <w:rPr>
                <w:rFonts w:eastAsia="Times New Roman" w:cstheme="minorHAnsi"/>
              </w:rPr>
              <w:t>(glipizide, glimepiride, glyburide)</w:t>
            </w:r>
          </w:p>
        </w:tc>
        <w:tc>
          <w:tcPr>
            <w:tcW w:w="2519" w:type="dxa"/>
            <w:shd w:val="clear" w:color="auto" w:fill="E7E6E6" w:themeFill="background2"/>
            <w:vAlign w:val="center"/>
          </w:tcPr>
          <w:p w14:paraId="528DBFF9" w14:textId="104C75AD" w:rsidR="00874CDC" w:rsidRDefault="00874CDC" w:rsidP="00874CDC">
            <w:pPr>
              <w:jc w:val="center"/>
              <w:rPr>
                <w:rFonts w:eastAsia="Times New Roman" w:cstheme="minorHAnsi"/>
              </w:rPr>
            </w:pPr>
            <w:r>
              <w:rPr>
                <w:rFonts w:eastAsia="Times New Roman" w:cstheme="minorHAnsi"/>
              </w:rPr>
              <w:t>Rapid effect</w:t>
            </w:r>
          </w:p>
        </w:tc>
        <w:tc>
          <w:tcPr>
            <w:tcW w:w="3804" w:type="dxa"/>
            <w:shd w:val="clear" w:color="auto" w:fill="E7E6E6" w:themeFill="background2"/>
            <w:vAlign w:val="center"/>
          </w:tcPr>
          <w:p w14:paraId="5673861F" w14:textId="77777777" w:rsidR="00874CDC" w:rsidRDefault="00874CDC" w:rsidP="00874CDC">
            <w:pPr>
              <w:jc w:val="center"/>
              <w:rPr>
                <w:rFonts w:eastAsia="Times New Roman" w:cstheme="minorHAnsi"/>
              </w:rPr>
            </w:pPr>
            <w:r>
              <w:rPr>
                <w:rFonts w:eastAsia="Times New Roman" w:cstheme="minorHAnsi"/>
              </w:rPr>
              <w:t>Weight gain</w:t>
            </w:r>
          </w:p>
          <w:p w14:paraId="220AA777" w14:textId="77777777" w:rsidR="00874CDC" w:rsidRDefault="00874CDC" w:rsidP="00874CDC">
            <w:pPr>
              <w:jc w:val="center"/>
              <w:rPr>
                <w:rFonts w:eastAsia="Times New Roman" w:cstheme="minorHAnsi"/>
              </w:rPr>
            </w:pPr>
            <w:r>
              <w:rPr>
                <w:rFonts w:eastAsia="Times New Roman" w:cstheme="minorHAnsi"/>
              </w:rPr>
              <w:t>Hypoglycemia</w:t>
            </w:r>
          </w:p>
          <w:p w14:paraId="230AA4FA" w14:textId="65538B96" w:rsidR="00874CDC" w:rsidRDefault="00874CDC" w:rsidP="00874CDC">
            <w:pPr>
              <w:jc w:val="center"/>
              <w:rPr>
                <w:rFonts w:eastAsia="Times New Roman" w:cstheme="minorHAnsi"/>
              </w:rPr>
            </w:pPr>
            <w:r>
              <w:rPr>
                <w:rFonts w:eastAsia="Times New Roman" w:cstheme="minorHAnsi"/>
              </w:rPr>
              <w:t>Avoid glyburide in CKD</w:t>
            </w:r>
          </w:p>
        </w:tc>
        <w:tc>
          <w:tcPr>
            <w:tcW w:w="1592" w:type="dxa"/>
            <w:shd w:val="clear" w:color="auto" w:fill="E7E6E6" w:themeFill="background2"/>
            <w:vAlign w:val="center"/>
          </w:tcPr>
          <w:p w14:paraId="6A67C569" w14:textId="16BEAA22" w:rsidR="00874CDC" w:rsidRDefault="00874CDC" w:rsidP="00874CDC">
            <w:pPr>
              <w:jc w:val="center"/>
              <w:rPr>
                <w:rFonts w:eastAsia="Times New Roman" w:cstheme="minorHAnsi"/>
              </w:rPr>
            </w:pPr>
            <w:r>
              <w:rPr>
                <w:rFonts w:eastAsia="Times New Roman" w:cstheme="minorHAnsi"/>
              </w:rPr>
              <w:t>1-2%</w:t>
            </w:r>
          </w:p>
        </w:tc>
      </w:tr>
      <w:tr w:rsidR="00874CDC" w14:paraId="7D431A46" w14:textId="77777777" w:rsidTr="00930013">
        <w:tc>
          <w:tcPr>
            <w:tcW w:w="2875" w:type="dxa"/>
            <w:vAlign w:val="center"/>
          </w:tcPr>
          <w:p w14:paraId="4202AB5B" w14:textId="77777777" w:rsidR="00874CDC" w:rsidRDefault="00874CDC" w:rsidP="00874CDC">
            <w:pPr>
              <w:jc w:val="center"/>
              <w:rPr>
                <w:rFonts w:eastAsia="Times New Roman" w:cstheme="minorHAnsi"/>
                <w:b/>
                <w:bCs/>
              </w:rPr>
            </w:pPr>
            <w:r>
              <w:rPr>
                <w:rFonts w:eastAsia="Times New Roman" w:cstheme="minorHAnsi"/>
                <w:b/>
                <w:bCs/>
              </w:rPr>
              <w:t>Insulin</w:t>
            </w:r>
          </w:p>
          <w:p w14:paraId="373BE191" w14:textId="77777777" w:rsidR="00874CDC" w:rsidRDefault="00874CDC" w:rsidP="00874CDC">
            <w:pPr>
              <w:jc w:val="center"/>
              <w:rPr>
                <w:rFonts w:eastAsia="Times New Roman" w:cstheme="minorHAnsi"/>
              </w:rPr>
            </w:pPr>
            <w:r>
              <w:rPr>
                <w:rFonts w:eastAsia="Times New Roman" w:cstheme="minorHAnsi"/>
              </w:rPr>
              <w:t>SQ|$</w:t>
            </w:r>
          </w:p>
          <w:p w14:paraId="3E6E9636" w14:textId="482D25C0" w:rsidR="00874CDC" w:rsidRPr="00874CDC" w:rsidRDefault="00874CDC" w:rsidP="00874CDC">
            <w:pPr>
              <w:jc w:val="center"/>
              <w:rPr>
                <w:rFonts w:eastAsia="Times New Roman" w:cstheme="minorHAnsi"/>
              </w:rPr>
            </w:pPr>
            <w:r>
              <w:rPr>
                <w:rFonts w:eastAsia="Times New Roman" w:cstheme="minorHAnsi"/>
              </w:rPr>
              <w:t>(Glargine, NPH, regular, lispro, aspart, U-500, U-300)</w:t>
            </w:r>
          </w:p>
        </w:tc>
        <w:tc>
          <w:tcPr>
            <w:tcW w:w="2519" w:type="dxa"/>
            <w:vAlign w:val="center"/>
          </w:tcPr>
          <w:p w14:paraId="33856E56" w14:textId="58E5AA1C" w:rsidR="00874CDC" w:rsidRDefault="00874CDC" w:rsidP="00874CDC">
            <w:pPr>
              <w:jc w:val="center"/>
              <w:rPr>
                <w:rFonts w:eastAsia="Times New Roman" w:cstheme="minorHAnsi"/>
              </w:rPr>
            </w:pPr>
            <w:r>
              <w:rPr>
                <w:rFonts w:eastAsia="Times New Roman" w:cstheme="minorHAnsi"/>
              </w:rPr>
              <w:t>Rapid effect</w:t>
            </w:r>
          </w:p>
        </w:tc>
        <w:tc>
          <w:tcPr>
            <w:tcW w:w="3804" w:type="dxa"/>
            <w:vAlign w:val="center"/>
          </w:tcPr>
          <w:p w14:paraId="6DC5529B" w14:textId="77777777" w:rsidR="00874CDC" w:rsidRDefault="00874CDC" w:rsidP="00874CDC">
            <w:pPr>
              <w:jc w:val="center"/>
              <w:rPr>
                <w:rFonts w:eastAsia="Times New Roman" w:cstheme="minorHAnsi"/>
              </w:rPr>
            </w:pPr>
            <w:r>
              <w:rPr>
                <w:rFonts w:eastAsia="Times New Roman" w:cstheme="minorHAnsi"/>
              </w:rPr>
              <w:t xml:space="preserve">Weight gain </w:t>
            </w:r>
          </w:p>
          <w:p w14:paraId="20E6A61F" w14:textId="5EA9E1A5" w:rsidR="00874CDC" w:rsidRDefault="00874CDC" w:rsidP="00874CDC">
            <w:pPr>
              <w:jc w:val="center"/>
              <w:rPr>
                <w:rFonts w:eastAsia="Times New Roman" w:cstheme="minorHAnsi"/>
              </w:rPr>
            </w:pPr>
            <w:r>
              <w:rPr>
                <w:rFonts w:eastAsia="Times New Roman" w:cstheme="minorHAnsi"/>
              </w:rPr>
              <w:t>Hypoglycemia</w:t>
            </w:r>
          </w:p>
        </w:tc>
        <w:tc>
          <w:tcPr>
            <w:tcW w:w="1592" w:type="dxa"/>
            <w:vAlign w:val="center"/>
          </w:tcPr>
          <w:p w14:paraId="4B7FB4AC" w14:textId="37DCBC4A" w:rsidR="00874CDC" w:rsidRDefault="00874CDC" w:rsidP="00874CDC">
            <w:pPr>
              <w:jc w:val="center"/>
              <w:rPr>
                <w:rFonts w:eastAsia="Times New Roman" w:cstheme="minorHAnsi"/>
              </w:rPr>
            </w:pPr>
            <w:r>
              <w:rPr>
                <w:rFonts w:eastAsia="Times New Roman" w:cstheme="minorHAnsi"/>
              </w:rPr>
              <w:t>1.5-3.5%</w:t>
            </w:r>
          </w:p>
        </w:tc>
      </w:tr>
      <w:tr w:rsidR="00874CDC" w14:paraId="55EED71B" w14:textId="77777777" w:rsidTr="00047D4C">
        <w:tc>
          <w:tcPr>
            <w:tcW w:w="2875" w:type="dxa"/>
            <w:shd w:val="clear" w:color="auto" w:fill="E7E6E6" w:themeFill="background2"/>
            <w:vAlign w:val="center"/>
          </w:tcPr>
          <w:p w14:paraId="5422FE8D" w14:textId="77777777" w:rsidR="00874CDC" w:rsidRDefault="00874CDC" w:rsidP="00874CDC">
            <w:pPr>
              <w:jc w:val="center"/>
              <w:rPr>
                <w:rFonts w:eastAsia="Times New Roman" w:cstheme="minorHAnsi"/>
                <w:b/>
                <w:bCs/>
              </w:rPr>
            </w:pPr>
            <w:r>
              <w:rPr>
                <w:rFonts w:eastAsia="Times New Roman" w:cstheme="minorHAnsi"/>
                <w:b/>
                <w:bCs/>
              </w:rPr>
              <w:t>Diet modification</w:t>
            </w:r>
          </w:p>
          <w:p w14:paraId="1719BDA0" w14:textId="77777777" w:rsidR="00874CDC" w:rsidRDefault="001542C7" w:rsidP="00874CDC">
            <w:pPr>
              <w:jc w:val="center"/>
              <w:rPr>
                <w:rFonts w:eastAsia="Times New Roman" w:cstheme="minorHAnsi"/>
              </w:rPr>
            </w:pPr>
            <w:r>
              <w:rPr>
                <w:rFonts w:eastAsia="Times New Roman" w:cstheme="minorHAnsi"/>
              </w:rPr>
              <w:t>$-$$</w:t>
            </w:r>
          </w:p>
          <w:p w14:paraId="58F21D93" w14:textId="0C24BBCD" w:rsidR="001542C7" w:rsidRPr="001542C7" w:rsidRDefault="001542C7" w:rsidP="00874CDC">
            <w:pPr>
              <w:jc w:val="center"/>
              <w:rPr>
                <w:rFonts w:eastAsia="Times New Roman" w:cstheme="minorHAnsi"/>
              </w:rPr>
            </w:pPr>
            <w:r>
              <w:rPr>
                <w:rFonts w:eastAsia="Times New Roman" w:cstheme="minorHAnsi"/>
              </w:rPr>
              <w:lastRenderedPageBreak/>
              <w:t>(caloric restriction)</w:t>
            </w:r>
          </w:p>
        </w:tc>
        <w:tc>
          <w:tcPr>
            <w:tcW w:w="2519" w:type="dxa"/>
            <w:shd w:val="clear" w:color="auto" w:fill="E7E6E6" w:themeFill="background2"/>
            <w:vAlign w:val="center"/>
          </w:tcPr>
          <w:p w14:paraId="4AECA67D" w14:textId="77777777" w:rsidR="00874CDC" w:rsidRDefault="001542C7" w:rsidP="00874CDC">
            <w:pPr>
              <w:jc w:val="center"/>
              <w:rPr>
                <w:rFonts w:eastAsia="Times New Roman" w:cstheme="minorHAnsi"/>
              </w:rPr>
            </w:pPr>
            <w:r>
              <w:rPr>
                <w:rFonts w:eastAsia="Times New Roman" w:cstheme="minorHAnsi"/>
              </w:rPr>
              <w:lastRenderedPageBreak/>
              <w:t>Weight loss</w:t>
            </w:r>
          </w:p>
          <w:p w14:paraId="0A729D2D" w14:textId="77777777" w:rsidR="001542C7" w:rsidRDefault="001542C7" w:rsidP="00874CDC">
            <w:pPr>
              <w:jc w:val="center"/>
              <w:rPr>
                <w:rFonts w:eastAsia="Times New Roman" w:cstheme="minorHAnsi"/>
              </w:rPr>
            </w:pPr>
            <w:r>
              <w:rPr>
                <w:rFonts w:eastAsia="Times New Roman" w:cstheme="minorHAnsi"/>
              </w:rPr>
              <w:t>Potentially curative</w:t>
            </w:r>
          </w:p>
          <w:p w14:paraId="5B656765" w14:textId="67444AC1" w:rsidR="001542C7" w:rsidRDefault="001542C7" w:rsidP="001542C7">
            <w:pPr>
              <w:jc w:val="center"/>
              <w:rPr>
                <w:rFonts w:eastAsia="Times New Roman" w:cstheme="minorHAnsi"/>
              </w:rPr>
            </w:pPr>
            <w:r>
              <w:rPr>
                <w:rFonts w:eastAsia="Times New Roman" w:cstheme="minorHAnsi"/>
              </w:rPr>
              <w:lastRenderedPageBreak/>
              <w:t>May ↓ BP, ASCVD risk, NASH</w:t>
            </w:r>
          </w:p>
        </w:tc>
        <w:tc>
          <w:tcPr>
            <w:tcW w:w="3804" w:type="dxa"/>
            <w:shd w:val="clear" w:color="auto" w:fill="E7E6E6" w:themeFill="background2"/>
            <w:vAlign w:val="center"/>
          </w:tcPr>
          <w:p w14:paraId="5C3C631C" w14:textId="3E73D048" w:rsidR="00874CDC" w:rsidRDefault="001542C7" w:rsidP="00874CDC">
            <w:pPr>
              <w:jc w:val="center"/>
              <w:rPr>
                <w:rFonts w:eastAsia="Times New Roman" w:cstheme="minorHAnsi"/>
              </w:rPr>
            </w:pPr>
            <w:r>
              <w:rPr>
                <w:rFonts w:eastAsia="Times New Roman" w:cstheme="minorHAnsi"/>
              </w:rPr>
              <w:lastRenderedPageBreak/>
              <w:t>High relapse rates</w:t>
            </w:r>
          </w:p>
        </w:tc>
        <w:tc>
          <w:tcPr>
            <w:tcW w:w="1592" w:type="dxa"/>
            <w:shd w:val="clear" w:color="auto" w:fill="E7E6E6" w:themeFill="background2"/>
            <w:vAlign w:val="center"/>
          </w:tcPr>
          <w:p w14:paraId="38A8BF7A" w14:textId="77777777" w:rsidR="00874CDC" w:rsidRDefault="001542C7" w:rsidP="00874CDC">
            <w:pPr>
              <w:jc w:val="center"/>
              <w:rPr>
                <w:rFonts w:eastAsia="Times New Roman" w:cstheme="minorHAnsi"/>
              </w:rPr>
            </w:pPr>
            <w:r>
              <w:rPr>
                <w:rFonts w:eastAsia="Times New Roman" w:cstheme="minorHAnsi"/>
              </w:rPr>
              <w:t>~0.5%</w:t>
            </w:r>
          </w:p>
          <w:p w14:paraId="13B305B6" w14:textId="58453080" w:rsidR="001542C7" w:rsidRDefault="001542C7" w:rsidP="00874CDC">
            <w:pPr>
              <w:jc w:val="center"/>
              <w:rPr>
                <w:rFonts w:eastAsia="Times New Roman" w:cstheme="minorHAnsi"/>
              </w:rPr>
            </w:pPr>
            <w:r w:rsidRPr="001542C7">
              <w:rPr>
                <w:rFonts w:eastAsia="Times New Roman" w:cstheme="minorHAnsi"/>
                <w:sz w:val="18"/>
                <w:szCs w:val="18"/>
              </w:rPr>
              <w:lastRenderedPageBreak/>
              <w:t>(related to degree of caloric restriction and weight loss)</w:t>
            </w:r>
          </w:p>
        </w:tc>
      </w:tr>
      <w:tr w:rsidR="001542C7" w14:paraId="14981D7E" w14:textId="77777777" w:rsidTr="00930013">
        <w:tc>
          <w:tcPr>
            <w:tcW w:w="2875" w:type="dxa"/>
            <w:vAlign w:val="center"/>
          </w:tcPr>
          <w:p w14:paraId="35D26E7A" w14:textId="43425123" w:rsidR="001542C7" w:rsidRDefault="001542C7" w:rsidP="00874CDC">
            <w:pPr>
              <w:jc w:val="center"/>
              <w:rPr>
                <w:rFonts w:eastAsia="Times New Roman" w:cstheme="minorHAnsi"/>
                <w:b/>
                <w:bCs/>
              </w:rPr>
            </w:pPr>
            <w:r>
              <w:rPr>
                <w:rFonts w:eastAsia="Times New Roman" w:cstheme="minorHAnsi"/>
                <w:b/>
                <w:bCs/>
              </w:rPr>
              <w:lastRenderedPageBreak/>
              <w:t>Bariatric surgery</w:t>
            </w:r>
          </w:p>
          <w:p w14:paraId="622F7D3C" w14:textId="4C6E6EB7" w:rsidR="001542C7" w:rsidRDefault="001542C7" w:rsidP="00874CDC">
            <w:pPr>
              <w:jc w:val="center"/>
              <w:rPr>
                <w:rFonts w:eastAsia="Times New Roman" w:cstheme="minorHAnsi"/>
              </w:rPr>
            </w:pPr>
            <w:r>
              <w:rPr>
                <w:rFonts w:eastAsia="Times New Roman" w:cstheme="minorHAnsi"/>
              </w:rPr>
              <w:t>$$$</w:t>
            </w:r>
          </w:p>
          <w:p w14:paraId="439A4CCE" w14:textId="442F27A8" w:rsidR="001542C7" w:rsidRPr="001542C7" w:rsidRDefault="001542C7" w:rsidP="00874CDC">
            <w:pPr>
              <w:jc w:val="center"/>
              <w:rPr>
                <w:rFonts w:eastAsia="Times New Roman" w:cstheme="minorHAnsi"/>
              </w:rPr>
            </w:pPr>
            <w:r>
              <w:rPr>
                <w:rFonts w:eastAsia="Times New Roman" w:cstheme="minorHAnsi"/>
              </w:rPr>
              <w:t>(Roux-en-Y, gastric band/sleeve)</w:t>
            </w:r>
          </w:p>
          <w:p w14:paraId="161E6653" w14:textId="03B79B6E" w:rsidR="001542C7" w:rsidRDefault="001542C7" w:rsidP="00874CDC">
            <w:pPr>
              <w:jc w:val="center"/>
              <w:rPr>
                <w:rFonts w:eastAsia="Times New Roman" w:cstheme="minorHAnsi"/>
                <w:b/>
                <w:bCs/>
              </w:rPr>
            </w:pPr>
          </w:p>
        </w:tc>
        <w:tc>
          <w:tcPr>
            <w:tcW w:w="2519" w:type="dxa"/>
            <w:vAlign w:val="center"/>
          </w:tcPr>
          <w:p w14:paraId="4A1C397E" w14:textId="77777777" w:rsidR="001542C7" w:rsidRDefault="001542C7" w:rsidP="00874CDC">
            <w:pPr>
              <w:jc w:val="center"/>
              <w:rPr>
                <w:rFonts w:eastAsia="Times New Roman" w:cstheme="minorHAnsi"/>
              </w:rPr>
            </w:pPr>
            <w:r>
              <w:rPr>
                <w:rFonts w:eastAsia="Times New Roman" w:cstheme="minorHAnsi"/>
              </w:rPr>
              <w:t>Weight loss</w:t>
            </w:r>
          </w:p>
          <w:p w14:paraId="27484AE1" w14:textId="2CD83B45" w:rsidR="001542C7" w:rsidRDefault="001542C7" w:rsidP="00874CDC">
            <w:pPr>
              <w:jc w:val="center"/>
              <w:rPr>
                <w:rFonts w:eastAsia="Times New Roman" w:cstheme="minorHAnsi"/>
              </w:rPr>
            </w:pPr>
            <w:r>
              <w:rPr>
                <w:rFonts w:eastAsia="Times New Roman" w:cstheme="minorHAnsi"/>
              </w:rPr>
              <w:t>Potentially curative</w:t>
            </w:r>
          </w:p>
        </w:tc>
        <w:tc>
          <w:tcPr>
            <w:tcW w:w="3804" w:type="dxa"/>
            <w:vAlign w:val="center"/>
          </w:tcPr>
          <w:p w14:paraId="7A7428DA" w14:textId="77777777" w:rsidR="001542C7" w:rsidRDefault="001542C7" w:rsidP="00874CDC">
            <w:pPr>
              <w:jc w:val="center"/>
              <w:rPr>
                <w:rFonts w:eastAsia="Times New Roman" w:cstheme="minorHAnsi"/>
              </w:rPr>
            </w:pPr>
            <w:r>
              <w:rPr>
                <w:rFonts w:eastAsia="Times New Roman" w:cstheme="minorHAnsi"/>
              </w:rPr>
              <w:t>High relapse rate of DM (30-50%)</w:t>
            </w:r>
          </w:p>
          <w:p w14:paraId="1B6D7394" w14:textId="7C73B44F" w:rsidR="001542C7" w:rsidRDefault="001542C7" w:rsidP="00874CDC">
            <w:pPr>
              <w:jc w:val="center"/>
              <w:rPr>
                <w:rFonts w:eastAsia="Times New Roman" w:cstheme="minorHAnsi"/>
              </w:rPr>
            </w:pPr>
            <w:r>
              <w:rPr>
                <w:rFonts w:eastAsia="Times New Roman" w:cstheme="minorHAnsi"/>
              </w:rPr>
              <w:t>Complications of surgery (malabsorption, anastomotic ulcers in Roux-en-Y)</w:t>
            </w:r>
          </w:p>
        </w:tc>
        <w:tc>
          <w:tcPr>
            <w:tcW w:w="1592" w:type="dxa"/>
            <w:vAlign w:val="center"/>
          </w:tcPr>
          <w:p w14:paraId="50F7C670" w14:textId="0107236D" w:rsidR="001542C7" w:rsidRDefault="001542C7" w:rsidP="00874CDC">
            <w:pPr>
              <w:jc w:val="center"/>
              <w:rPr>
                <w:rFonts w:eastAsia="Times New Roman" w:cstheme="minorHAnsi"/>
              </w:rPr>
            </w:pPr>
            <w:r>
              <w:rPr>
                <w:rFonts w:eastAsia="Times New Roman" w:cstheme="minorHAnsi"/>
              </w:rPr>
              <w:t>2%</w:t>
            </w:r>
          </w:p>
        </w:tc>
      </w:tr>
      <w:bookmarkEnd w:id="0"/>
    </w:tbl>
    <w:p w14:paraId="27CFCED7" w14:textId="77777777" w:rsidR="00520FB7" w:rsidRDefault="00520FB7" w:rsidP="004B235B">
      <w:pPr>
        <w:spacing w:after="0" w:line="240" w:lineRule="auto"/>
        <w:rPr>
          <w:rFonts w:eastAsia="Times New Roman" w:cstheme="minorHAnsi"/>
          <w:b/>
          <w:bCs/>
          <w:u w:val="single"/>
        </w:rPr>
      </w:pPr>
    </w:p>
    <w:p w14:paraId="06B8B017" w14:textId="6D7FE7AD" w:rsidR="00520FB7" w:rsidRDefault="002A4643" w:rsidP="00520FB7">
      <w:pPr>
        <w:spacing w:after="0" w:line="240" w:lineRule="auto"/>
        <w:rPr>
          <w:rFonts w:eastAsia="Times New Roman" w:cstheme="minorHAnsi"/>
        </w:rPr>
      </w:pPr>
      <w:r w:rsidRPr="00C07DFC">
        <w:rPr>
          <w:rFonts w:eastAsia="Times New Roman" w:cstheme="minorHAnsi"/>
          <w:b/>
          <w:bCs/>
          <w:u w:val="single"/>
        </w:rPr>
        <w:t>Cases</w:t>
      </w:r>
      <w:r w:rsidRPr="00520FB7">
        <w:rPr>
          <w:rFonts w:eastAsia="Times New Roman" w:cstheme="minorHAnsi"/>
          <w:b/>
          <w:bCs/>
        </w:rPr>
        <w:t xml:space="preserve">: </w:t>
      </w:r>
      <w:r w:rsidRPr="00520FB7">
        <w:rPr>
          <w:rFonts w:eastAsia="Times New Roman" w:cstheme="minorHAnsi"/>
        </w:rPr>
        <w:t>Consider</w:t>
      </w:r>
      <w:r w:rsidRPr="00C07DFC">
        <w:rPr>
          <w:rFonts w:eastAsia="Times New Roman" w:cstheme="minorHAnsi"/>
        </w:rPr>
        <w:t xml:space="preserve"> breaking the group into smaller groups to work on each case together. </w:t>
      </w:r>
      <w:r w:rsidR="00520FB7">
        <w:rPr>
          <w:rFonts w:eastAsia="Times New Roman" w:cstheme="minorHAnsi"/>
        </w:rPr>
        <w:t>You may pick and choose relevant cases based on your learner needs.</w:t>
      </w:r>
    </w:p>
    <w:p w14:paraId="04011CCE" w14:textId="77777777" w:rsidR="00520FB7" w:rsidRPr="00520FB7" w:rsidRDefault="00520FB7" w:rsidP="00520FB7">
      <w:pPr>
        <w:pStyle w:val="ListParagraph"/>
        <w:numPr>
          <w:ilvl w:val="0"/>
          <w:numId w:val="24"/>
        </w:numPr>
        <w:spacing w:after="0" w:line="240" w:lineRule="auto"/>
        <w:rPr>
          <w:rFonts w:eastAsia="Times New Roman" w:cstheme="minorHAnsi"/>
        </w:rPr>
      </w:pPr>
      <w:r w:rsidRPr="00520FB7">
        <w:rPr>
          <w:rFonts w:eastAsia="Times New Roman" w:cstheme="minorHAnsi"/>
        </w:rPr>
        <w:t>Case 1 - reviews diagnostic and screening criteri</w:t>
      </w:r>
      <w:r w:rsidRPr="00520FB7">
        <w:rPr>
          <w:rFonts w:eastAsia="Times New Roman" w:cstheme="minorHAnsi"/>
        </w:rPr>
        <w:t>a</w:t>
      </w:r>
    </w:p>
    <w:p w14:paraId="73AE4BD0" w14:textId="77777777" w:rsidR="00520FB7" w:rsidRPr="00520FB7" w:rsidRDefault="00520FB7" w:rsidP="00520FB7">
      <w:pPr>
        <w:pStyle w:val="ListParagraph"/>
        <w:numPr>
          <w:ilvl w:val="0"/>
          <w:numId w:val="24"/>
        </w:numPr>
        <w:spacing w:after="0" w:line="240" w:lineRule="auto"/>
        <w:rPr>
          <w:rFonts w:eastAsia="Times New Roman" w:cstheme="minorHAnsi"/>
        </w:rPr>
      </w:pPr>
      <w:r w:rsidRPr="00520FB7">
        <w:rPr>
          <w:rFonts w:eastAsia="Times New Roman" w:cstheme="minorHAnsi"/>
        </w:rPr>
        <w:t>Case 2 - reviews initial management and screening for complications</w:t>
      </w:r>
    </w:p>
    <w:p w14:paraId="737E69C8" w14:textId="77777777" w:rsidR="00520FB7" w:rsidRPr="00520FB7" w:rsidRDefault="00520FB7" w:rsidP="00520FB7">
      <w:pPr>
        <w:pStyle w:val="ListParagraph"/>
        <w:numPr>
          <w:ilvl w:val="0"/>
          <w:numId w:val="24"/>
        </w:numPr>
        <w:spacing w:after="0" w:line="240" w:lineRule="auto"/>
        <w:rPr>
          <w:rFonts w:eastAsia="Times New Roman" w:cstheme="minorHAnsi"/>
        </w:rPr>
      </w:pPr>
      <w:r w:rsidRPr="00520FB7">
        <w:rPr>
          <w:rFonts w:eastAsia="Times New Roman" w:cstheme="minorHAnsi"/>
        </w:rPr>
        <w:t xml:space="preserve">Case 3 - reviews diagnostic criteria, initial </w:t>
      </w:r>
      <w:proofErr w:type="gramStart"/>
      <w:r w:rsidRPr="00520FB7">
        <w:rPr>
          <w:rFonts w:eastAsia="Times New Roman" w:cstheme="minorHAnsi"/>
        </w:rPr>
        <w:t>management</w:t>
      </w:r>
      <w:proofErr w:type="gramEnd"/>
      <w:r w:rsidRPr="00520FB7">
        <w:rPr>
          <w:rFonts w:eastAsia="Times New Roman" w:cstheme="minorHAnsi"/>
        </w:rPr>
        <w:t xml:space="preserve"> and glycemic targets</w:t>
      </w:r>
    </w:p>
    <w:p w14:paraId="2CFF3D8E" w14:textId="77777777" w:rsidR="00520FB7" w:rsidRPr="00520FB7" w:rsidRDefault="00520FB7" w:rsidP="00520FB7">
      <w:pPr>
        <w:pStyle w:val="ListParagraph"/>
        <w:numPr>
          <w:ilvl w:val="0"/>
          <w:numId w:val="24"/>
        </w:numPr>
        <w:spacing w:after="0" w:line="240" w:lineRule="auto"/>
        <w:rPr>
          <w:rFonts w:eastAsia="Times New Roman" w:cstheme="minorHAnsi"/>
        </w:rPr>
      </w:pPr>
      <w:r w:rsidRPr="00520FB7">
        <w:rPr>
          <w:rFonts w:eastAsia="Times New Roman" w:cstheme="minorHAnsi"/>
        </w:rPr>
        <w:t xml:space="preserve">Case 4- reviews management of macrovascular complications, </w:t>
      </w:r>
      <w:proofErr w:type="gramStart"/>
      <w:r w:rsidRPr="00520FB7">
        <w:rPr>
          <w:rFonts w:eastAsia="Times New Roman" w:cstheme="minorHAnsi"/>
        </w:rPr>
        <w:t>management</w:t>
      </w:r>
      <w:proofErr w:type="gramEnd"/>
      <w:r w:rsidRPr="00520FB7">
        <w:rPr>
          <w:rFonts w:eastAsia="Times New Roman" w:cstheme="minorHAnsi"/>
        </w:rPr>
        <w:t xml:space="preserve"> and titration of medications</w:t>
      </w:r>
    </w:p>
    <w:p w14:paraId="0B69E5BF" w14:textId="77777777" w:rsidR="00520FB7" w:rsidRPr="00520FB7" w:rsidRDefault="00520FB7" w:rsidP="00520FB7">
      <w:pPr>
        <w:pStyle w:val="ListParagraph"/>
        <w:numPr>
          <w:ilvl w:val="0"/>
          <w:numId w:val="24"/>
        </w:numPr>
        <w:spacing w:after="0" w:line="240" w:lineRule="auto"/>
        <w:rPr>
          <w:rFonts w:eastAsia="Times New Roman" w:cstheme="minorHAnsi"/>
        </w:rPr>
      </w:pPr>
      <w:r w:rsidRPr="00520FB7">
        <w:rPr>
          <w:rFonts w:eastAsia="Times New Roman" w:cstheme="minorHAnsi"/>
        </w:rPr>
        <w:t>Case 5 - reviews glycemic targets based on complications, subsequent management of diabetes</w:t>
      </w:r>
    </w:p>
    <w:p w14:paraId="0A49811B" w14:textId="715FB7EB" w:rsidR="00520FB7" w:rsidRPr="00520FB7" w:rsidRDefault="00520FB7" w:rsidP="00520FB7">
      <w:pPr>
        <w:pStyle w:val="ListParagraph"/>
        <w:numPr>
          <w:ilvl w:val="0"/>
          <w:numId w:val="24"/>
        </w:numPr>
        <w:spacing w:after="0" w:line="240" w:lineRule="auto"/>
        <w:rPr>
          <w:rFonts w:eastAsia="Times New Roman" w:cstheme="minorHAnsi"/>
        </w:rPr>
      </w:pPr>
      <w:r w:rsidRPr="00520FB7">
        <w:rPr>
          <w:rFonts w:eastAsia="Times New Roman" w:cstheme="minorHAnsi"/>
        </w:rPr>
        <w:t>Case 6 - reviews management of diabetes based on comorbidities</w:t>
      </w:r>
    </w:p>
    <w:p w14:paraId="05D18362" w14:textId="51A9FBBA" w:rsidR="005E0EBE" w:rsidRDefault="005E0EBE" w:rsidP="004B235B">
      <w:pPr>
        <w:spacing w:after="0" w:line="240" w:lineRule="auto"/>
        <w:rPr>
          <w:rFonts w:eastAsia="Times New Roman" w:cstheme="minorHAnsi"/>
        </w:rPr>
      </w:pPr>
    </w:p>
    <w:p w14:paraId="012AE019" w14:textId="752503AA" w:rsidR="005E0EBE" w:rsidRPr="005E0EBE" w:rsidRDefault="005E0EBE" w:rsidP="004B235B">
      <w:pPr>
        <w:spacing w:after="0" w:line="240" w:lineRule="auto"/>
        <w:rPr>
          <w:rFonts w:cstheme="minorHAnsi"/>
          <w:b/>
          <w:bCs/>
          <w:i/>
          <w:iCs/>
        </w:rPr>
      </w:pPr>
      <w:r w:rsidRPr="005E0EBE">
        <w:rPr>
          <w:rFonts w:eastAsia="Times New Roman" w:cstheme="minorHAnsi"/>
          <w:b/>
          <w:bCs/>
        </w:rPr>
        <w:t xml:space="preserve">Take Home Points: </w:t>
      </w:r>
    </w:p>
    <w:p w14:paraId="2C34C9B1" w14:textId="3CA3FCBD" w:rsidR="004417FF" w:rsidRDefault="00C918C8" w:rsidP="00C918C8">
      <w:pPr>
        <w:pStyle w:val="ListParagraph"/>
        <w:numPr>
          <w:ilvl w:val="0"/>
          <w:numId w:val="26"/>
        </w:numPr>
        <w:spacing w:after="0" w:line="240" w:lineRule="auto"/>
        <w:outlineLvl w:val="1"/>
        <w:rPr>
          <w:rFonts w:cstheme="minorHAnsi"/>
        </w:rPr>
      </w:pPr>
      <w:r>
        <w:rPr>
          <w:rFonts w:cstheme="minorHAnsi"/>
        </w:rPr>
        <w:t xml:space="preserve">Patients &gt;35 </w:t>
      </w:r>
      <w:proofErr w:type="spellStart"/>
      <w:r>
        <w:rPr>
          <w:rFonts w:cstheme="minorHAnsi"/>
        </w:rPr>
        <w:t>yo</w:t>
      </w:r>
      <w:proofErr w:type="spellEnd"/>
      <w:r>
        <w:rPr>
          <w:rFonts w:cstheme="minorHAnsi"/>
        </w:rPr>
        <w:t xml:space="preserve">, on certain medications, and BMI &gt; 25 with additional risk factors should be screened for diabetes at least every 3 years. </w:t>
      </w:r>
    </w:p>
    <w:p w14:paraId="7A23AE88" w14:textId="1A01BCA4" w:rsidR="00C918C8" w:rsidRDefault="00C918C8" w:rsidP="00C918C8">
      <w:pPr>
        <w:pStyle w:val="ListParagraph"/>
        <w:numPr>
          <w:ilvl w:val="0"/>
          <w:numId w:val="26"/>
        </w:numPr>
        <w:spacing w:after="0" w:line="240" w:lineRule="auto"/>
        <w:outlineLvl w:val="1"/>
        <w:rPr>
          <w:rFonts w:cstheme="minorHAnsi"/>
        </w:rPr>
      </w:pPr>
      <w:r>
        <w:rPr>
          <w:rFonts w:cstheme="minorHAnsi"/>
        </w:rPr>
        <w:t xml:space="preserve">Diabetes causes microvascular (retinopathy, neuropathy, neuropathy) and macrovascular complications (atherosclerotic disease). Screen for microvascular complications yearly and prevent </w:t>
      </w:r>
      <w:r w:rsidR="00866B17">
        <w:rPr>
          <w:rFonts w:cstheme="minorHAnsi"/>
        </w:rPr>
        <w:t xml:space="preserve">development with aggressive glycemic control. </w:t>
      </w:r>
    </w:p>
    <w:p w14:paraId="4FAEB179" w14:textId="5A0F3994" w:rsidR="00866B17" w:rsidRPr="00C918C8" w:rsidRDefault="00815FBC" w:rsidP="00C918C8">
      <w:pPr>
        <w:pStyle w:val="ListParagraph"/>
        <w:numPr>
          <w:ilvl w:val="0"/>
          <w:numId w:val="26"/>
        </w:numPr>
        <w:spacing w:after="0" w:line="240" w:lineRule="auto"/>
        <w:outlineLvl w:val="1"/>
        <w:rPr>
          <w:rFonts w:cstheme="minorHAnsi"/>
        </w:rPr>
      </w:pPr>
      <w:r>
        <w:rPr>
          <w:rFonts w:cstheme="minorHAnsi"/>
        </w:rPr>
        <w:t>Treatment of</w:t>
      </w:r>
      <w:r w:rsidR="00866B17">
        <w:rPr>
          <w:rFonts w:cstheme="minorHAnsi"/>
        </w:rPr>
        <w:t xml:space="preserve"> diabetes </w:t>
      </w:r>
      <w:r>
        <w:rPr>
          <w:rFonts w:cstheme="minorHAnsi"/>
        </w:rPr>
        <w:t xml:space="preserve">should be individualized based on patient comorbidities. Metformin and lifestyle modifications are first line for almost all patients. Patients with HF, ASCVD, and CKD should be considered for SGLT2 inhibitor </w:t>
      </w:r>
      <w:r w:rsidR="00927353">
        <w:rPr>
          <w:rFonts w:cstheme="minorHAnsi"/>
        </w:rPr>
        <w:t>and/</w:t>
      </w:r>
      <w:r>
        <w:rPr>
          <w:rFonts w:cstheme="minorHAnsi"/>
        </w:rPr>
        <w:t>or GLP1.</w:t>
      </w:r>
    </w:p>
    <w:p w14:paraId="2E63A385" w14:textId="3F84FE55" w:rsidR="005E0EBE" w:rsidRDefault="005E0EBE" w:rsidP="004417FF">
      <w:pPr>
        <w:spacing w:after="0" w:line="240" w:lineRule="auto"/>
        <w:outlineLvl w:val="1"/>
        <w:rPr>
          <w:rFonts w:cstheme="minorHAnsi"/>
        </w:rPr>
      </w:pPr>
    </w:p>
    <w:p w14:paraId="6C1DD4A0" w14:textId="395EC857" w:rsidR="005E0EBE" w:rsidRDefault="005E0EBE" w:rsidP="004417FF">
      <w:pPr>
        <w:spacing w:after="0" w:line="240" w:lineRule="auto"/>
        <w:outlineLvl w:val="1"/>
        <w:rPr>
          <w:rFonts w:cstheme="minorHAnsi"/>
          <w:b/>
          <w:bCs/>
        </w:rPr>
      </w:pPr>
      <w:r w:rsidRPr="005E0EBE">
        <w:rPr>
          <w:rFonts w:cstheme="minorHAnsi"/>
          <w:b/>
          <w:bCs/>
        </w:rPr>
        <w:t xml:space="preserve">References: </w:t>
      </w:r>
    </w:p>
    <w:p w14:paraId="04388647" w14:textId="5FF96ACB" w:rsidR="005E0EBE" w:rsidRDefault="005E0EBE" w:rsidP="005E0EBE">
      <w:pPr>
        <w:pStyle w:val="ListParagraph"/>
        <w:numPr>
          <w:ilvl w:val="0"/>
          <w:numId w:val="25"/>
        </w:numPr>
        <w:spacing w:after="0" w:line="240" w:lineRule="auto"/>
        <w:outlineLvl w:val="1"/>
        <w:rPr>
          <w:rFonts w:cstheme="minorHAnsi"/>
        </w:rPr>
      </w:pPr>
      <w:r w:rsidRPr="005E0EBE">
        <w:rPr>
          <w:rFonts w:cstheme="minorHAnsi"/>
        </w:rPr>
        <w:t>American Diabetes Association.</w:t>
      </w:r>
      <w:r>
        <w:rPr>
          <w:rFonts w:cstheme="minorHAnsi"/>
          <w:i/>
          <w:iCs/>
        </w:rPr>
        <w:t xml:space="preserve"> </w:t>
      </w:r>
      <w:r>
        <w:rPr>
          <w:rFonts w:cstheme="minorHAnsi"/>
        </w:rPr>
        <w:t xml:space="preserve">Standards for Medical Care in Diabetes – 2022 Abridged for Primary Care Providers. </w:t>
      </w:r>
      <w:r>
        <w:rPr>
          <w:rFonts w:cstheme="minorHAnsi"/>
          <w:i/>
          <w:iCs/>
        </w:rPr>
        <w:t>Clin Diabetes</w:t>
      </w:r>
      <w:r>
        <w:rPr>
          <w:rFonts w:cstheme="minorHAnsi"/>
        </w:rPr>
        <w:t xml:space="preserve">. 2022; 20(1):10-38. </w:t>
      </w:r>
    </w:p>
    <w:p w14:paraId="7E82E8ED" w14:textId="1BCD7A9B" w:rsidR="005E0EBE" w:rsidRDefault="00F44905" w:rsidP="005E0EBE">
      <w:pPr>
        <w:pStyle w:val="ListParagraph"/>
        <w:numPr>
          <w:ilvl w:val="0"/>
          <w:numId w:val="25"/>
        </w:numPr>
        <w:spacing w:after="0" w:line="240" w:lineRule="auto"/>
        <w:outlineLvl w:val="1"/>
        <w:rPr>
          <w:rFonts w:cstheme="minorHAnsi"/>
        </w:rPr>
      </w:pPr>
      <w:r>
        <w:rPr>
          <w:rFonts w:cstheme="minorHAnsi"/>
        </w:rPr>
        <w:t xml:space="preserve">American Diabetes Association Professional Practice Committee. Classification and Diagnosis of Diabetes: </w:t>
      </w:r>
      <w:r>
        <w:rPr>
          <w:rFonts w:cstheme="minorHAnsi"/>
          <w:i/>
          <w:iCs/>
        </w:rPr>
        <w:t>Standards of Medical Care in Diabetes -2022</w:t>
      </w:r>
      <w:r>
        <w:rPr>
          <w:rFonts w:cstheme="minorHAnsi"/>
        </w:rPr>
        <w:t xml:space="preserve">. </w:t>
      </w:r>
      <w:r w:rsidRPr="00F44905">
        <w:rPr>
          <w:rFonts w:cstheme="minorHAnsi"/>
          <w:i/>
          <w:iCs/>
        </w:rPr>
        <w:t>Diabetes Care.</w:t>
      </w:r>
      <w:r>
        <w:rPr>
          <w:rFonts w:cstheme="minorHAnsi"/>
        </w:rPr>
        <w:t xml:space="preserve"> 45 (Suppl. 1</w:t>
      </w:r>
      <w:proofErr w:type="gramStart"/>
      <w:r>
        <w:rPr>
          <w:rFonts w:cstheme="minorHAnsi"/>
        </w:rPr>
        <w:t>):S</w:t>
      </w:r>
      <w:proofErr w:type="gramEnd"/>
      <w:r>
        <w:rPr>
          <w:rFonts w:cstheme="minorHAnsi"/>
        </w:rPr>
        <w:t>17-S38.</w:t>
      </w:r>
    </w:p>
    <w:p w14:paraId="34E55A89" w14:textId="0A41F353" w:rsidR="00F44905" w:rsidRDefault="000A4FA8" w:rsidP="005E0EBE">
      <w:pPr>
        <w:pStyle w:val="ListParagraph"/>
        <w:numPr>
          <w:ilvl w:val="0"/>
          <w:numId w:val="25"/>
        </w:numPr>
        <w:spacing w:after="0" w:line="240" w:lineRule="auto"/>
        <w:outlineLvl w:val="1"/>
        <w:rPr>
          <w:rFonts w:cstheme="minorHAnsi"/>
        </w:rPr>
      </w:pPr>
      <w:r>
        <w:rPr>
          <w:rFonts w:cstheme="minorHAnsi"/>
        </w:rPr>
        <w:t xml:space="preserve">American Diabetes Association Professional Practice Committee. Pharmacologic Approaches to Glycemic Treatment: </w:t>
      </w:r>
      <w:r>
        <w:rPr>
          <w:rFonts w:cstheme="minorHAnsi"/>
          <w:i/>
          <w:iCs/>
        </w:rPr>
        <w:t xml:space="preserve">Standards of Medical Care in Diabetes – 2022. </w:t>
      </w:r>
      <w:r w:rsidRPr="00F44905">
        <w:rPr>
          <w:rFonts w:cstheme="minorHAnsi"/>
          <w:i/>
          <w:iCs/>
        </w:rPr>
        <w:t>Diabetes Care.</w:t>
      </w:r>
      <w:r>
        <w:rPr>
          <w:rFonts w:cstheme="minorHAnsi"/>
        </w:rPr>
        <w:t xml:space="preserve"> 45 (Suppl. 1</w:t>
      </w:r>
      <w:proofErr w:type="gramStart"/>
      <w:r>
        <w:rPr>
          <w:rFonts w:cstheme="minorHAnsi"/>
        </w:rPr>
        <w:t>):S</w:t>
      </w:r>
      <w:proofErr w:type="gramEnd"/>
      <w:r>
        <w:rPr>
          <w:rFonts w:cstheme="minorHAnsi"/>
        </w:rPr>
        <w:t>125-S143.</w:t>
      </w:r>
    </w:p>
    <w:p w14:paraId="1F207EDC" w14:textId="54BC2764" w:rsidR="00001A03" w:rsidRDefault="00001A03" w:rsidP="005E0EBE">
      <w:pPr>
        <w:pStyle w:val="ListParagraph"/>
        <w:numPr>
          <w:ilvl w:val="0"/>
          <w:numId w:val="25"/>
        </w:numPr>
        <w:spacing w:after="0" w:line="240" w:lineRule="auto"/>
        <w:outlineLvl w:val="1"/>
        <w:rPr>
          <w:rFonts w:cstheme="minorHAnsi"/>
        </w:rPr>
      </w:pPr>
      <w:r>
        <w:rPr>
          <w:rFonts w:cstheme="minorHAnsi"/>
        </w:rPr>
        <w:t xml:space="preserve">American Diabetes Association Professional Practice Committee. Obesity and Weight Management for the Prevention and Treatment of Type 2 Diabetes: </w:t>
      </w:r>
      <w:r>
        <w:rPr>
          <w:rFonts w:cstheme="minorHAnsi"/>
          <w:i/>
          <w:iCs/>
        </w:rPr>
        <w:t>Standards of Medical Care in Diabetes -2022</w:t>
      </w:r>
      <w:r>
        <w:rPr>
          <w:rFonts w:cstheme="minorHAnsi"/>
        </w:rPr>
        <w:t xml:space="preserve">. </w:t>
      </w:r>
      <w:r w:rsidRPr="00F44905">
        <w:rPr>
          <w:rFonts w:cstheme="minorHAnsi"/>
          <w:i/>
          <w:iCs/>
        </w:rPr>
        <w:t>Diabetes Care.</w:t>
      </w:r>
      <w:r>
        <w:rPr>
          <w:rFonts w:cstheme="minorHAnsi"/>
        </w:rPr>
        <w:t xml:space="preserve"> 45 (Suppl. 1</w:t>
      </w:r>
      <w:proofErr w:type="gramStart"/>
      <w:r>
        <w:rPr>
          <w:rFonts w:cstheme="minorHAnsi"/>
        </w:rPr>
        <w:t>):S</w:t>
      </w:r>
      <w:proofErr w:type="gramEnd"/>
      <w:r>
        <w:rPr>
          <w:rFonts w:cstheme="minorHAnsi"/>
        </w:rPr>
        <w:t>17-S38.</w:t>
      </w:r>
    </w:p>
    <w:p w14:paraId="51400EBA" w14:textId="7EDC9EC9" w:rsidR="00001A03" w:rsidRDefault="00BC28A5" w:rsidP="005E0EBE">
      <w:pPr>
        <w:pStyle w:val="ListParagraph"/>
        <w:numPr>
          <w:ilvl w:val="0"/>
          <w:numId w:val="25"/>
        </w:numPr>
        <w:spacing w:after="0" w:line="240" w:lineRule="auto"/>
        <w:outlineLvl w:val="1"/>
        <w:rPr>
          <w:rFonts w:cstheme="minorHAnsi"/>
        </w:rPr>
      </w:pPr>
      <w:r>
        <w:rPr>
          <w:rFonts w:cstheme="minorHAnsi"/>
        </w:rPr>
        <w:t xml:space="preserve">Wexler DJ. Initial management of hyperglycemia in adults with tyle 2 diabetes mellitus. In </w:t>
      </w:r>
      <w:proofErr w:type="spellStart"/>
      <w:r>
        <w:rPr>
          <w:rFonts w:cstheme="minorHAnsi"/>
          <w:i/>
          <w:iCs/>
        </w:rPr>
        <w:t>Uptodate</w:t>
      </w:r>
      <w:proofErr w:type="spellEnd"/>
      <w:r>
        <w:rPr>
          <w:rFonts w:cstheme="minorHAnsi"/>
        </w:rPr>
        <w:t>, Mulder, JE (ed). UpToDate. Waltham, MA. (Accessed March 29, 2022).</w:t>
      </w:r>
    </w:p>
    <w:p w14:paraId="59C82BDD" w14:textId="77777777" w:rsidR="00BC28A5" w:rsidRPr="005E0EBE" w:rsidRDefault="00BC28A5" w:rsidP="00E35A9C">
      <w:pPr>
        <w:pStyle w:val="ListParagraph"/>
        <w:spacing w:after="0" w:line="240" w:lineRule="auto"/>
        <w:outlineLvl w:val="1"/>
        <w:rPr>
          <w:rFonts w:cstheme="minorHAnsi"/>
        </w:rPr>
      </w:pPr>
    </w:p>
    <w:sectPr w:rsidR="00BC28A5" w:rsidRPr="005E0EBE" w:rsidSect="000D1E34">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8C2"/>
    <w:multiLevelType w:val="hybridMultilevel"/>
    <w:tmpl w:val="8534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10A46"/>
    <w:multiLevelType w:val="multilevel"/>
    <w:tmpl w:val="A21A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5164A"/>
    <w:multiLevelType w:val="multilevel"/>
    <w:tmpl w:val="6FEA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C6E36"/>
    <w:multiLevelType w:val="hybridMultilevel"/>
    <w:tmpl w:val="BAFC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7009D"/>
    <w:multiLevelType w:val="hybridMultilevel"/>
    <w:tmpl w:val="9F88B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14475"/>
    <w:multiLevelType w:val="hybridMultilevel"/>
    <w:tmpl w:val="5ADA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12380"/>
    <w:multiLevelType w:val="hybridMultilevel"/>
    <w:tmpl w:val="32FC6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801F6"/>
    <w:multiLevelType w:val="hybridMultilevel"/>
    <w:tmpl w:val="0DFCF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0542B"/>
    <w:multiLevelType w:val="hybridMultilevel"/>
    <w:tmpl w:val="1DE2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876D0"/>
    <w:multiLevelType w:val="hybridMultilevel"/>
    <w:tmpl w:val="B442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B1AFD"/>
    <w:multiLevelType w:val="hybridMultilevel"/>
    <w:tmpl w:val="5BFC2F7A"/>
    <w:lvl w:ilvl="0" w:tplc="58DEB3F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31213"/>
    <w:multiLevelType w:val="hybridMultilevel"/>
    <w:tmpl w:val="9F88B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B3045"/>
    <w:multiLevelType w:val="multilevel"/>
    <w:tmpl w:val="23AE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050829"/>
    <w:multiLevelType w:val="hybridMultilevel"/>
    <w:tmpl w:val="7550EEBC"/>
    <w:lvl w:ilvl="0" w:tplc="C0F6208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61634"/>
    <w:multiLevelType w:val="hybridMultilevel"/>
    <w:tmpl w:val="9F88B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05177"/>
    <w:multiLevelType w:val="hybridMultilevel"/>
    <w:tmpl w:val="FC8A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962A6"/>
    <w:multiLevelType w:val="hybridMultilevel"/>
    <w:tmpl w:val="69FEC428"/>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6E046EB4"/>
    <w:multiLevelType w:val="hybridMultilevel"/>
    <w:tmpl w:val="9F5C3998"/>
    <w:lvl w:ilvl="0" w:tplc="20BAFD4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67EF5"/>
    <w:multiLevelType w:val="hybridMultilevel"/>
    <w:tmpl w:val="C400C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F63C3"/>
    <w:multiLevelType w:val="hybridMultilevel"/>
    <w:tmpl w:val="52669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50CB3"/>
    <w:multiLevelType w:val="multilevel"/>
    <w:tmpl w:val="BBB8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E461E"/>
    <w:multiLevelType w:val="hybridMultilevel"/>
    <w:tmpl w:val="7E46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A07EE"/>
    <w:multiLevelType w:val="hybridMultilevel"/>
    <w:tmpl w:val="D702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51569"/>
    <w:multiLevelType w:val="hybridMultilevel"/>
    <w:tmpl w:val="10CA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D2149"/>
    <w:multiLevelType w:val="hybridMultilevel"/>
    <w:tmpl w:val="6006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44F26"/>
    <w:multiLevelType w:val="hybridMultilevel"/>
    <w:tmpl w:val="5722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F70E6"/>
    <w:multiLevelType w:val="hybridMultilevel"/>
    <w:tmpl w:val="FFEC8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687B62"/>
    <w:multiLevelType w:val="hybridMultilevel"/>
    <w:tmpl w:val="D702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7"/>
  </w:num>
  <w:num w:numId="5">
    <w:abstractNumId w:val="0"/>
  </w:num>
  <w:num w:numId="6">
    <w:abstractNumId w:val="3"/>
  </w:num>
  <w:num w:numId="7">
    <w:abstractNumId w:val="21"/>
  </w:num>
  <w:num w:numId="8">
    <w:abstractNumId w:val="1"/>
  </w:num>
  <w:num w:numId="9">
    <w:abstractNumId w:val="22"/>
  </w:num>
  <w:num w:numId="10">
    <w:abstractNumId w:val="27"/>
  </w:num>
  <w:num w:numId="11">
    <w:abstractNumId w:val="24"/>
  </w:num>
  <w:num w:numId="12">
    <w:abstractNumId w:val="15"/>
  </w:num>
  <w:num w:numId="13">
    <w:abstractNumId w:val="26"/>
  </w:num>
  <w:num w:numId="14">
    <w:abstractNumId w:val="9"/>
  </w:num>
  <w:num w:numId="15">
    <w:abstractNumId w:val="5"/>
  </w:num>
  <w:num w:numId="16">
    <w:abstractNumId w:val="25"/>
  </w:num>
  <w:num w:numId="17">
    <w:abstractNumId w:val="19"/>
  </w:num>
  <w:num w:numId="18">
    <w:abstractNumId w:val="4"/>
  </w:num>
  <w:num w:numId="19">
    <w:abstractNumId w:val="11"/>
  </w:num>
  <w:num w:numId="20">
    <w:abstractNumId w:val="14"/>
  </w:num>
  <w:num w:numId="21">
    <w:abstractNumId w:val="16"/>
  </w:num>
  <w:num w:numId="22">
    <w:abstractNumId w:val="23"/>
  </w:num>
  <w:num w:numId="23">
    <w:abstractNumId w:val="13"/>
  </w:num>
  <w:num w:numId="24">
    <w:abstractNumId w:val="10"/>
  </w:num>
  <w:num w:numId="25">
    <w:abstractNumId w:val="18"/>
  </w:num>
  <w:num w:numId="26">
    <w:abstractNumId w:val="8"/>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DA"/>
    <w:rsid w:val="00001A03"/>
    <w:rsid w:val="000110C6"/>
    <w:rsid w:val="00012B63"/>
    <w:rsid w:val="00026670"/>
    <w:rsid w:val="00044AF2"/>
    <w:rsid w:val="00044FB5"/>
    <w:rsid w:val="00047D4C"/>
    <w:rsid w:val="0006406C"/>
    <w:rsid w:val="000767DB"/>
    <w:rsid w:val="00087649"/>
    <w:rsid w:val="000A4FA8"/>
    <w:rsid w:val="000B20D9"/>
    <w:rsid w:val="000D1E34"/>
    <w:rsid w:val="000D4924"/>
    <w:rsid w:val="00104599"/>
    <w:rsid w:val="001142B3"/>
    <w:rsid w:val="001222A1"/>
    <w:rsid w:val="00133AB7"/>
    <w:rsid w:val="00151D33"/>
    <w:rsid w:val="001542C7"/>
    <w:rsid w:val="001A73FA"/>
    <w:rsid w:val="001D04EE"/>
    <w:rsid w:val="001D3E88"/>
    <w:rsid w:val="001E0206"/>
    <w:rsid w:val="00200A5D"/>
    <w:rsid w:val="00227BE9"/>
    <w:rsid w:val="00232387"/>
    <w:rsid w:val="002364C2"/>
    <w:rsid w:val="00251ACB"/>
    <w:rsid w:val="00256129"/>
    <w:rsid w:val="00267169"/>
    <w:rsid w:val="002814D1"/>
    <w:rsid w:val="002A4643"/>
    <w:rsid w:val="002A54E0"/>
    <w:rsid w:val="0030756E"/>
    <w:rsid w:val="00307A15"/>
    <w:rsid w:val="00311FF6"/>
    <w:rsid w:val="003138B1"/>
    <w:rsid w:val="0031602C"/>
    <w:rsid w:val="00345106"/>
    <w:rsid w:val="00350B21"/>
    <w:rsid w:val="00375A80"/>
    <w:rsid w:val="003A30D0"/>
    <w:rsid w:val="003B320E"/>
    <w:rsid w:val="003C7FB8"/>
    <w:rsid w:val="003D24F4"/>
    <w:rsid w:val="00411338"/>
    <w:rsid w:val="00434567"/>
    <w:rsid w:val="004417FF"/>
    <w:rsid w:val="00467204"/>
    <w:rsid w:val="004707A4"/>
    <w:rsid w:val="00484B66"/>
    <w:rsid w:val="00491E8C"/>
    <w:rsid w:val="00494854"/>
    <w:rsid w:val="004B235B"/>
    <w:rsid w:val="0050237A"/>
    <w:rsid w:val="00520FB7"/>
    <w:rsid w:val="00532C0A"/>
    <w:rsid w:val="00535AAA"/>
    <w:rsid w:val="005403B1"/>
    <w:rsid w:val="00565BC9"/>
    <w:rsid w:val="00582E79"/>
    <w:rsid w:val="00587090"/>
    <w:rsid w:val="005952DF"/>
    <w:rsid w:val="00595CB3"/>
    <w:rsid w:val="005C08C8"/>
    <w:rsid w:val="005C1485"/>
    <w:rsid w:val="005C29D6"/>
    <w:rsid w:val="005E0EBE"/>
    <w:rsid w:val="005E4C7C"/>
    <w:rsid w:val="0060144B"/>
    <w:rsid w:val="0060386C"/>
    <w:rsid w:val="00604754"/>
    <w:rsid w:val="006176EB"/>
    <w:rsid w:val="00624DE0"/>
    <w:rsid w:val="00630551"/>
    <w:rsid w:val="00654F52"/>
    <w:rsid w:val="00661590"/>
    <w:rsid w:val="006774A7"/>
    <w:rsid w:val="00681814"/>
    <w:rsid w:val="006B3F67"/>
    <w:rsid w:val="006B4CF6"/>
    <w:rsid w:val="006C1552"/>
    <w:rsid w:val="006C620D"/>
    <w:rsid w:val="006D31C4"/>
    <w:rsid w:val="00734B2B"/>
    <w:rsid w:val="007840C5"/>
    <w:rsid w:val="00785137"/>
    <w:rsid w:val="007B4223"/>
    <w:rsid w:val="007C0733"/>
    <w:rsid w:val="007D7DC9"/>
    <w:rsid w:val="007E4A56"/>
    <w:rsid w:val="007E6339"/>
    <w:rsid w:val="007E6515"/>
    <w:rsid w:val="00810C59"/>
    <w:rsid w:val="00814715"/>
    <w:rsid w:val="00815FBC"/>
    <w:rsid w:val="00866B17"/>
    <w:rsid w:val="00874CDC"/>
    <w:rsid w:val="00877F7C"/>
    <w:rsid w:val="00896379"/>
    <w:rsid w:val="008D03A1"/>
    <w:rsid w:val="009120B2"/>
    <w:rsid w:val="00927353"/>
    <w:rsid w:val="00927374"/>
    <w:rsid w:val="009273EB"/>
    <w:rsid w:val="00930013"/>
    <w:rsid w:val="00940AD3"/>
    <w:rsid w:val="00967073"/>
    <w:rsid w:val="00970403"/>
    <w:rsid w:val="0097257A"/>
    <w:rsid w:val="0098665B"/>
    <w:rsid w:val="009C19DC"/>
    <w:rsid w:val="009D6B2A"/>
    <w:rsid w:val="009F5800"/>
    <w:rsid w:val="009F6DE6"/>
    <w:rsid w:val="00A06517"/>
    <w:rsid w:val="00A55515"/>
    <w:rsid w:val="00A75C73"/>
    <w:rsid w:val="00B14030"/>
    <w:rsid w:val="00B36601"/>
    <w:rsid w:val="00B3720E"/>
    <w:rsid w:val="00B4384F"/>
    <w:rsid w:val="00B55BF7"/>
    <w:rsid w:val="00B85F4C"/>
    <w:rsid w:val="00B97F68"/>
    <w:rsid w:val="00BB0972"/>
    <w:rsid w:val="00BC28A5"/>
    <w:rsid w:val="00BE73DA"/>
    <w:rsid w:val="00C07DFC"/>
    <w:rsid w:val="00C4101B"/>
    <w:rsid w:val="00C44851"/>
    <w:rsid w:val="00C55004"/>
    <w:rsid w:val="00C572C3"/>
    <w:rsid w:val="00C62C81"/>
    <w:rsid w:val="00C72048"/>
    <w:rsid w:val="00C75D52"/>
    <w:rsid w:val="00C918C8"/>
    <w:rsid w:val="00CA74F4"/>
    <w:rsid w:val="00CB7237"/>
    <w:rsid w:val="00CC25B9"/>
    <w:rsid w:val="00D25A84"/>
    <w:rsid w:val="00D4022C"/>
    <w:rsid w:val="00D77A08"/>
    <w:rsid w:val="00D8562F"/>
    <w:rsid w:val="00D9223A"/>
    <w:rsid w:val="00D95DF9"/>
    <w:rsid w:val="00DB0BDD"/>
    <w:rsid w:val="00DC2350"/>
    <w:rsid w:val="00DC72AB"/>
    <w:rsid w:val="00E10ED4"/>
    <w:rsid w:val="00E35A9C"/>
    <w:rsid w:val="00E35AFF"/>
    <w:rsid w:val="00E41C1A"/>
    <w:rsid w:val="00E50993"/>
    <w:rsid w:val="00E665D7"/>
    <w:rsid w:val="00E6700E"/>
    <w:rsid w:val="00E828AF"/>
    <w:rsid w:val="00E84F86"/>
    <w:rsid w:val="00ED5753"/>
    <w:rsid w:val="00EE61F9"/>
    <w:rsid w:val="00EF54E6"/>
    <w:rsid w:val="00F01963"/>
    <w:rsid w:val="00F14B87"/>
    <w:rsid w:val="00F2636E"/>
    <w:rsid w:val="00F31EA6"/>
    <w:rsid w:val="00F426AD"/>
    <w:rsid w:val="00F43BE4"/>
    <w:rsid w:val="00F44905"/>
    <w:rsid w:val="00F61B6A"/>
    <w:rsid w:val="00F63889"/>
    <w:rsid w:val="00F67CCD"/>
    <w:rsid w:val="00F724EC"/>
    <w:rsid w:val="00F75BA1"/>
    <w:rsid w:val="00F92A1F"/>
    <w:rsid w:val="00FB0D08"/>
    <w:rsid w:val="00FD17AB"/>
    <w:rsid w:val="00FD38F6"/>
    <w:rsid w:val="00FF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50B7"/>
  <w15:docId w15:val="{9FE70C6C-D9BA-44F0-AF06-7A0FAED1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E7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73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3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73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73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73DA"/>
    <w:rPr>
      <w:color w:val="0000FF"/>
      <w:u w:val="single"/>
    </w:rPr>
  </w:style>
  <w:style w:type="character" w:styleId="Strong">
    <w:name w:val="Strong"/>
    <w:basedOn w:val="DefaultParagraphFont"/>
    <w:uiPriority w:val="22"/>
    <w:qFormat/>
    <w:rsid w:val="00BE73DA"/>
    <w:rPr>
      <w:b/>
      <w:bCs/>
    </w:rPr>
  </w:style>
  <w:style w:type="paragraph" w:customStyle="1" w:styleId="embeddownload">
    <w:name w:val="embed_download"/>
    <w:basedOn w:val="Normal"/>
    <w:rsid w:val="00BE73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3DA"/>
    <w:pPr>
      <w:ind w:left="720"/>
      <w:contextualSpacing/>
    </w:pPr>
  </w:style>
  <w:style w:type="paragraph" w:styleId="Revision">
    <w:name w:val="Revision"/>
    <w:hidden/>
    <w:uiPriority w:val="99"/>
    <w:semiHidden/>
    <w:rsid w:val="009F6DE6"/>
    <w:pPr>
      <w:spacing w:after="0" w:line="240" w:lineRule="auto"/>
    </w:pPr>
  </w:style>
  <w:style w:type="character" w:styleId="CommentReference">
    <w:name w:val="annotation reference"/>
    <w:basedOn w:val="DefaultParagraphFont"/>
    <w:uiPriority w:val="99"/>
    <w:semiHidden/>
    <w:unhideWhenUsed/>
    <w:rsid w:val="00535AAA"/>
    <w:rPr>
      <w:sz w:val="16"/>
      <w:szCs w:val="16"/>
    </w:rPr>
  </w:style>
  <w:style w:type="paragraph" w:styleId="CommentText">
    <w:name w:val="annotation text"/>
    <w:basedOn w:val="Normal"/>
    <w:link w:val="CommentTextChar"/>
    <w:uiPriority w:val="99"/>
    <w:unhideWhenUsed/>
    <w:rsid w:val="00535AAA"/>
    <w:pPr>
      <w:spacing w:line="240" w:lineRule="auto"/>
    </w:pPr>
    <w:rPr>
      <w:sz w:val="20"/>
      <w:szCs w:val="20"/>
    </w:rPr>
  </w:style>
  <w:style w:type="character" w:customStyle="1" w:styleId="CommentTextChar">
    <w:name w:val="Comment Text Char"/>
    <w:basedOn w:val="DefaultParagraphFont"/>
    <w:link w:val="CommentText"/>
    <w:uiPriority w:val="99"/>
    <w:rsid w:val="00535AAA"/>
    <w:rPr>
      <w:sz w:val="20"/>
      <w:szCs w:val="20"/>
    </w:rPr>
  </w:style>
  <w:style w:type="paragraph" w:styleId="CommentSubject">
    <w:name w:val="annotation subject"/>
    <w:basedOn w:val="CommentText"/>
    <w:next w:val="CommentText"/>
    <w:link w:val="CommentSubjectChar"/>
    <w:uiPriority w:val="99"/>
    <w:semiHidden/>
    <w:unhideWhenUsed/>
    <w:rsid w:val="00535AAA"/>
    <w:rPr>
      <w:b/>
      <w:bCs/>
    </w:rPr>
  </w:style>
  <w:style w:type="character" w:customStyle="1" w:styleId="CommentSubjectChar">
    <w:name w:val="Comment Subject Char"/>
    <w:basedOn w:val="CommentTextChar"/>
    <w:link w:val="CommentSubject"/>
    <w:uiPriority w:val="99"/>
    <w:semiHidden/>
    <w:rsid w:val="00535AAA"/>
    <w:rPr>
      <w:b/>
      <w:bCs/>
      <w:sz w:val="20"/>
      <w:szCs w:val="20"/>
    </w:rPr>
  </w:style>
  <w:style w:type="table" w:styleId="TableGrid">
    <w:name w:val="Table Grid"/>
    <w:basedOn w:val="TableNormal"/>
    <w:uiPriority w:val="39"/>
    <w:rsid w:val="0087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298">
      <w:bodyDiv w:val="1"/>
      <w:marLeft w:val="0"/>
      <w:marRight w:val="0"/>
      <w:marTop w:val="0"/>
      <w:marBottom w:val="0"/>
      <w:divBdr>
        <w:top w:val="none" w:sz="0" w:space="0" w:color="auto"/>
        <w:left w:val="none" w:sz="0" w:space="0" w:color="auto"/>
        <w:bottom w:val="none" w:sz="0" w:space="0" w:color="auto"/>
        <w:right w:val="none" w:sz="0" w:space="0" w:color="auto"/>
      </w:divBdr>
    </w:div>
    <w:div w:id="34934981">
      <w:bodyDiv w:val="1"/>
      <w:marLeft w:val="0"/>
      <w:marRight w:val="0"/>
      <w:marTop w:val="0"/>
      <w:marBottom w:val="0"/>
      <w:divBdr>
        <w:top w:val="none" w:sz="0" w:space="0" w:color="auto"/>
        <w:left w:val="none" w:sz="0" w:space="0" w:color="auto"/>
        <w:bottom w:val="none" w:sz="0" w:space="0" w:color="auto"/>
        <w:right w:val="none" w:sz="0" w:space="0" w:color="auto"/>
      </w:divBdr>
      <w:divsChild>
        <w:div w:id="736825462">
          <w:marLeft w:val="0"/>
          <w:marRight w:val="0"/>
          <w:marTop w:val="0"/>
          <w:marBottom w:val="0"/>
          <w:divBdr>
            <w:top w:val="none" w:sz="0" w:space="0" w:color="auto"/>
            <w:left w:val="none" w:sz="0" w:space="0" w:color="auto"/>
            <w:bottom w:val="none" w:sz="0" w:space="0" w:color="auto"/>
            <w:right w:val="none" w:sz="0" w:space="0" w:color="auto"/>
          </w:divBdr>
          <w:divsChild>
            <w:div w:id="238027660">
              <w:marLeft w:val="0"/>
              <w:marRight w:val="0"/>
              <w:marTop w:val="0"/>
              <w:marBottom w:val="0"/>
              <w:divBdr>
                <w:top w:val="none" w:sz="0" w:space="0" w:color="auto"/>
                <w:left w:val="none" w:sz="0" w:space="0" w:color="auto"/>
                <w:bottom w:val="none" w:sz="0" w:space="0" w:color="auto"/>
                <w:right w:val="none" w:sz="0" w:space="0" w:color="auto"/>
              </w:divBdr>
              <w:divsChild>
                <w:div w:id="1684430394">
                  <w:marLeft w:val="0"/>
                  <w:marRight w:val="0"/>
                  <w:marTop w:val="0"/>
                  <w:marBottom w:val="0"/>
                  <w:divBdr>
                    <w:top w:val="none" w:sz="0" w:space="0" w:color="auto"/>
                    <w:left w:val="none" w:sz="0" w:space="0" w:color="auto"/>
                    <w:bottom w:val="none" w:sz="0" w:space="0" w:color="auto"/>
                    <w:right w:val="none" w:sz="0" w:space="0" w:color="auto"/>
                  </w:divBdr>
                  <w:divsChild>
                    <w:div w:id="220361068">
                      <w:marLeft w:val="0"/>
                      <w:marRight w:val="0"/>
                      <w:marTop w:val="0"/>
                      <w:marBottom w:val="0"/>
                      <w:divBdr>
                        <w:top w:val="none" w:sz="0" w:space="0" w:color="auto"/>
                        <w:left w:val="none" w:sz="0" w:space="0" w:color="auto"/>
                        <w:bottom w:val="none" w:sz="0" w:space="0" w:color="auto"/>
                        <w:right w:val="none" w:sz="0" w:space="0" w:color="auto"/>
                      </w:divBdr>
                      <w:divsChild>
                        <w:div w:id="463235523">
                          <w:marLeft w:val="0"/>
                          <w:marRight w:val="0"/>
                          <w:marTop w:val="0"/>
                          <w:marBottom w:val="0"/>
                          <w:divBdr>
                            <w:top w:val="none" w:sz="0" w:space="0" w:color="auto"/>
                            <w:left w:val="none" w:sz="0" w:space="0" w:color="auto"/>
                            <w:bottom w:val="none" w:sz="0" w:space="0" w:color="auto"/>
                            <w:right w:val="none" w:sz="0" w:space="0" w:color="auto"/>
                          </w:divBdr>
                          <w:divsChild>
                            <w:div w:id="499656410">
                              <w:marLeft w:val="0"/>
                              <w:marRight w:val="0"/>
                              <w:marTop w:val="0"/>
                              <w:marBottom w:val="0"/>
                              <w:divBdr>
                                <w:top w:val="none" w:sz="0" w:space="0" w:color="auto"/>
                                <w:left w:val="none" w:sz="0" w:space="0" w:color="auto"/>
                                <w:bottom w:val="none" w:sz="0" w:space="0" w:color="auto"/>
                                <w:right w:val="none" w:sz="0" w:space="0" w:color="auto"/>
                              </w:divBdr>
                              <w:divsChild>
                                <w:div w:id="13775322">
                                  <w:marLeft w:val="0"/>
                                  <w:marRight w:val="0"/>
                                  <w:marTop w:val="0"/>
                                  <w:marBottom w:val="0"/>
                                  <w:divBdr>
                                    <w:top w:val="none" w:sz="0" w:space="0" w:color="auto"/>
                                    <w:left w:val="none" w:sz="0" w:space="0" w:color="auto"/>
                                    <w:bottom w:val="none" w:sz="0" w:space="0" w:color="auto"/>
                                    <w:right w:val="none" w:sz="0" w:space="0" w:color="auto"/>
                                  </w:divBdr>
                                  <w:divsChild>
                                    <w:div w:id="569927957">
                                      <w:marLeft w:val="0"/>
                                      <w:marRight w:val="0"/>
                                      <w:marTop w:val="0"/>
                                      <w:marBottom w:val="0"/>
                                      <w:divBdr>
                                        <w:top w:val="none" w:sz="0" w:space="0" w:color="auto"/>
                                        <w:left w:val="none" w:sz="0" w:space="0" w:color="auto"/>
                                        <w:bottom w:val="none" w:sz="0" w:space="0" w:color="auto"/>
                                        <w:right w:val="none" w:sz="0" w:space="0" w:color="auto"/>
                                      </w:divBdr>
                                      <w:divsChild>
                                        <w:div w:id="18543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4365">
                              <w:marLeft w:val="0"/>
                              <w:marRight w:val="0"/>
                              <w:marTop w:val="0"/>
                              <w:marBottom w:val="450"/>
                              <w:divBdr>
                                <w:top w:val="none" w:sz="0" w:space="0" w:color="auto"/>
                                <w:left w:val="none" w:sz="0" w:space="0" w:color="auto"/>
                                <w:bottom w:val="none" w:sz="0" w:space="0" w:color="auto"/>
                                <w:right w:val="none" w:sz="0" w:space="0" w:color="auto"/>
                              </w:divBdr>
                              <w:divsChild>
                                <w:div w:id="857040115">
                                  <w:marLeft w:val="0"/>
                                  <w:marRight w:val="0"/>
                                  <w:marTop w:val="0"/>
                                  <w:marBottom w:val="0"/>
                                  <w:divBdr>
                                    <w:top w:val="none" w:sz="0" w:space="0" w:color="auto"/>
                                    <w:left w:val="none" w:sz="0" w:space="0" w:color="auto"/>
                                    <w:bottom w:val="none" w:sz="0" w:space="0" w:color="auto"/>
                                    <w:right w:val="none" w:sz="0" w:space="0" w:color="auto"/>
                                  </w:divBdr>
                                </w:div>
                              </w:divsChild>
                            </w:div>
                            <w:div w:id="2051875959">
                              <w:marLeft w:val="0"/>
                              <w:marRight w:val="0"/>
                              <w:marTop w:val="0"/>
                              <w:marBottom w:val="450"/>
                              <w:divBdr>
                                <w:top w:val="none" w:sz="0" w:space="0" w:color="auto"/>
                                <w:left w:val="none" w:sz="0" w:space="0" w:color="auto"/>
                                <w:bottom w:val="none" w:sz="0" w:space="0" w:color="auto"/>
                                <w:right w:val="none" w:sz="0" w:space="0" w:color="auto"/>
                              </w:divBdr>
                              <w:divsChild>
                                <w:div w:id="1113287480">
                                  <w:marLeft w:val="0"/>
                                  <w:marRight w:val="0"/>
                                  <w:marTop w:val="0"/>
                                  <w:marBottom w:val="0"/>
                                  <w:divBdr>
                                    <w:top w:val="none" w:sz="0" w:space="0" w:color="auto"/>
                                    <w:left w:val="none" w:sz="0" w:space="0" w:color="auto"/>
                                    <w:bottom w:val="none" w:sz="0" w:space="0" w:color="auto"/>
                                    <w:right w:val="none" w:sz="0" w:space="0" w:color="auto"/>
                                  </w:divBdr>
                                  <w:divsChild>
                                    <w:div w:id="19380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402987">
          <w:marLeft w:val="0"/>
          <w:marRight w:val="0"/>
          <w:marTop w:val="0"/>
          <w:marBottom w:val="0"/>
          <w:divBdr>
            <w:top w:val="none" w:sz="0" w:space="0" w:color="auto"/>
            <w:left w:val="none" w:sz="0" w:space="0" w:color="auto"/>
            <w:bottom w:val="none" w:sz="0" w:space="0" w:color="auto"/>
            <w:right w:val="none" w:sz="0" w:space="0" w:color="auto"/>
          </w:divBdr>
          <w:divsChild>
            <w:div w:id="1291595294">
              <w:marLeft w:val="0"/>
              <w:marRight w:val="0"/>
              <w:marTop w:val="0"/>
              <w:marBottom w:val="0"/>
              <w:divBdr>
                <w:top w:val="none" w:sz="0" w:space="0" w:color="auto"/>
                <w:left w:val="none" w:sz="0" w:space="0" w:color="auto"/>
                <w:bottom w:val="none" w:sz="0" w:space="0" w:color="auto"/>
                <w:right w:val="none" w:sz="0" w:space="0" w:color="auto"/>
              </w:divBdr>
              <w:divsChild>
                <w:div w:id="700059334">
                  <w:marLeft w:val="0"/>
                  <w:marRight w:val="0"/>
                  <w:marTop w:val="0"/>
                  <w:marBottom w:val="0"/>
                  <w:divBdr>
                    <w:top w:val="none" w:sz="0" w:space="0" w:color="auto"/>
                    <w:left w:val="none" w:sz="0" w:space="0" w:color="auto"/>
                    <w:bottom w:val="none" w:sz="0" w:space="0" w:color="auto"/>
                    <w:right w:val="none" w:sz="0" w:space="0" w:color="auto"/>
                  </w:divBdr>
                  <w:divsChild>
                    <w:div w:id="1744057939">
                      <w:marLeft w:val="0"/>
                      <w:marRight w:val="0"/>
                      <w:marTop w:val="0"/>
                      <w:marBottom w:val="0"/>
                      <w:divBdr>
                        <w:top w:val="none" w:sz="0" w:space="0" w:color="auto"/>
                        <w:left w:val="none" w:sz="0" w:space="0" w:color="auto"/>
                        <w:bottom w:val="none" w:sz="0" w:space="0" w:color="auto"/>
                        <w:right w:val="none" w:sz="0" w:space="0" w:color="auto"/>
                      </w:divBdr>
                      <w:divsChild>
                        <w:div w:id="1033771009">
                          <w:marLeft w:val="0"/>
                          <w:marRight w:val="0"/>
                          <w:marTop w:val="0"/>
                          <w:marBottom w:val="0"/>
                          <w:divBdr>
                            <w:top w:val="none" w:sz="0" w:space="0" w:color="auto"/>
                            <w:left w:val="none" w:sz="0" w:space="0" w:color="auto"/>
                            <w:bottom w:val="none" w:sz="0" w:space="0" w:color="auto"/>
                            <w:right w:val="none" w:sz="0" w:space="0" w:color="auto"/>
                          </w:divBdr>
                          <w:divsChild>
                            <w:div w:id="1060982889">
                              <w:marLeft w:val="0"/>
                              <w:marRight w:val="0"/>
                              <w:marTop w:val="0"/>
                              <w:marBottom w:val="450"/>
                              <w:divBdr>
                                <w:top w:val="none" w:sz="0" w:space="0" w:color="auto"/>
                                <w:left w:val="none" w:sz="0" w:space="0" w:color="auto"/>
                                <w:bottom w:val="none" w:sz="0" w:space="0" w:color="auto"/>
                                <w:right w:val="none" w:sz="0" w:space="0" w:color="auto"/>
                              </w:divBdr>
                              <w:divsChild>
                                <w:div w:id="40709558">
                                  <w:marLeft w:val="0"/>
                                  <w:marRight w:val="0"/>
                                  <w:marTop w:val="0"/>
                                  <w:marBottom w:val="0"/>
                                  <w:divBdr>
                                    <w:top w:val="none" w:sz="0" w:space="0" w:color="auto"/>
                                    <w:left w:val="none" w:sz="0" w:space="0" w:color="auto"/>
                                    <w:bottom w:val="none" w:sz="0" w:space="0" w:color="auto"/>
                                    <w:right w:val="none" w:sz="0" w:space="0" w:color="auto"/>
                                  </w:divBdr>
                                  <w:divsChild>
                                    <w:div w:id="5025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7600">
                              <w:marLeft w:val="0"/>
                              <w:marRight w:val="0"/>
                              <w:marTop w:val="0"/>
                              <w:marBottom w:val="450"/>
                              <w:divBdr>
                                <w:top w:val="none" w:sz="0" w:space="0" w:color="auto"/>
                                <w:left w:val="none" w:sz="0" w:space="0" w:color="auto"/>
                                <w:bottom w:val="none" w:sz="0" w:space="0" w:color="auto"/>
                                <w:right w:val="none" w:sz="0" w:space="0" w:color="auto"/>
                              </w:divBdr>
                              <w:divsChild>
                                <w:div w:id="109325540">
                                  <w:marLeft w:val="0"/>
                                  <w:marRight w:val="0"/>
                                  <w:marTop w:val="0"/>
                                  <w:marBottom w:val="0"/>
                                  <w:divBdr>
                                    <w:top w:val="none" w:sz="0" w:space="0" w:color="auto"/>
                                    <w:left w:val="none" w:sz="0" w:space="0" w:color="auto"/>
                                    <w:bottom w:val="none" w:sz="0" w:space="0" w:color="auto"/>
                                    <w:right w:val="none" w:sz="0" w:space="0" w:color="auto"/>
                                  </w:divBdr>
                                </w:div>
                              </w:divsChild>
                            </w:div>
                            <w:div w:id="1353262901">
                              <w:marLeft w:val="0"/>
                              <w:marRight w:val="0"/>
                              <w:marTop w:val="0"/>
                              <w:marBottom w:val="450"/>
                              <w:divBdr>
                                <w:top w:val="none" w:sz="0" w:space="0" w:color="auto"/>
                                <w:left w:val="none" w:sz="0" w:space="0" w:color="auto"/>
                                <w:bottom w:val="none" w:sz="0" w:space="0" w:color="auto"/>
                                <w:right w:val="none" w:sz="0" w:space="0" w:color="auto"/>
                              </w:divBdr>
                              <w:divsChild>
                                <w:div w:id="698359595">
                                  <w:marLeft w:val="0"/>
                                  <w:marRight w:val="0"/>
                                  <w:marTop w:val="0"/>
                                  <w:marBottom w:val="0"/>
                                  <w:divBdr>
                                    <w:top w:val="none" w:sz="0" w:space="0" w:color="auto"/>
                                    <w:left w:val="none" w:sz="0" w:space="0" w:color="auto"/>
                                    <w:bottom w:val="none" w:sz="0" w:space="0" w:color="auto"/>
                                    <w:right w:val="none" w:sz="0" w:space="0" w:color="auto"/>
                                  </w:divBdr>
                                  <w:divsChild>
                                    <w:div w:id="733085980">
                                      <w:marLeft w:val="0"/>
                                      <w:marRight w:val="0"/>
                                      <w:marTop w:val="0"/>
                                      <w:marBottom w:val="0"/>
                                      <w:divBdr>
                                        <w:top w:val="none" w:sz="0" w:space="0" w:color="auto"/>
                                        <w:left w:val="none" w:sz="0" w:space="0" w:color="auto"/>
                                        <w:bottom w:val="none" w:sz="0" w:space="0" w:color="auto"/>
                                        <w:right w:val="none" w:sz="0" w:space="0" w:color="auto"/>
                                      </w:divBdr>
                                      <w:divsChild>
                                        <w:div w:id="1671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236518">
          <w:marLeft w:val="0"/>
          <w:marRight w:val="0"/>
          <w:marTop w:val="0"/>
          <w:marBottom w:val="0"/>
          <w:divBdr>
            <w:top w:val="none" w:sz="0" w:space="0" w:color="auto"/>
            <w:left w:val="none" w:sz="0" w:space="0" w:color="auto"/>
            <w:bottom w:val="none" w:sz="0" w:space="0" w:color="auto"/>
            <w:right w:val="none" w:sz="0" w:space="0" w:color="auto"/>
          </w:divBdr>
          <w:divsChild>
            <w:div w:id="365104881">
              <w:marLeft w:val="0"/>
              <w:marRight w:val="0"/>
              <w:marTop w:val="0"/>
              <w:marBottom w:val="0"/>
              <w:divBdr>
                <w:top w:val="none" w:sz="0" w:space="0" w:color="auto"/>
                <w:left w:val="none" w:sz="0" w:space="0" w:color="auto"/>
                <w:bottom w:val="none" w:sz="0" w:space="0" w:color="auto"/>
                <w:right w:val="none" w:sz="0" w:space="0" w:color="auto"/>
              </w:divBdr>
              <w:divsChild>
                <w:div w:id="175386244">
                  <w:marLeft w:val="0"/>
                  <w:marRight w:val="0"/>
                  <w:marTop w:val="0"/>
                  <w:marBottom w:val="0"/>
                  <w:divBdr>
                    <w:top w:val="none" w:sz="0" w:space="0" w:color="auto"/>
                    <w:left w:val="none" w:sz="0" w:space="0" w:color="auto"/>
                    <w:bottom w:val="none" w:sz="0" w:space="0" w:color="auto"/>
                    <w:right w:val="none" w:sz="0" w:space="0" w:color="auto"/>
                  </w:divBdr>
                  <w:divsChild>
                    <w:div w:id="550969617">
                      <w:marLeft w:val="0"/>
                      <w:marRight w:val="0"/>
                      <w:marTop w:val="0"/>
                      <w:marBottom w:val="0"/>
                      <w:divBdr>
                        <w:top w:val="none" w:sz="0" w:space="0" w:color="auto"/>
                        <w:left w:val="none" w:sz="0" w:space="0" w:color="auto"/>
                        <w:bottom w:val="none" w:sz="0" w:space="0" w:color="auto"/>
                        <w:right w:val="none" w:sz="0" w:space="0" w:color="auto"/>
                      </w:divBdr>
                      <w:divsChild>
                        <w:div w:id="586235058">
                          <w:marLeft w:val="0"/>
                          <w:marRight w:val="0"/>
                          <w:marTop w:val="0"/>
                          <w:marBottom w:val="0"/>
                          <w:divBdr>
                            <w:top w:val="none" w:sz="0" w:space="0" w:color="auto"/>
                            <w:left w:val="none" w:sz="0" w:space="0" w:color="auto"/>
                            <w:bottom w:val="none" w:sz="0" w:space="0" w:color="auto"/>
                            <w:right w:val="none" w:sz="0" w:space="0" w:color="auto"/>
                          </w:divBdr>
                          <w:divsChild>
                            <w:div w:id="1290477291">
                              <w:marLeft w:val="0"/>
                              <w:marRight w:val="0"/>
                              <w:marTop w:val="0"/>
                              <w:marBottom w:val="0"/>
                              <w:divBdr>
                                <w:top w:val="none" w:sz="0" w:space="0" w:color="auto"/>
                                <w:left w:val="none" w:sz="0" w:space="0" w:color="auto"/>
                                <w:bottom w:val="none" w:sz="0" w:space="0" w:color="auto"/>
                                <w:right w:val="none" w:sz="0" w:space="0" w:color="auto"/>
                              </w:divBdr>
                              <w:divsChild>
                                <w:div w:id="337511850">
                                  <w:marLeft w:val="0"/>
                                  <w:marRight w:val="0"/>
                                  <w:marTop w:val="0"/>
                                  <w:marBottom w:val="450"/>
                                  <w:divBdr>
                                    <w:top w:val="none" w:sz="0" w:space="0" w:color="auto"/>
                                    <w:left w:val="none" w:sz="0" w:space="0" w:color="auto"/>
                                    <w:bottom w:val="none" w:sz="0" w:space="0" w:color="auto"/>
                                    <w:right w:val="none" w:sz="0" w:space="0" w:color="auto"/>
                                  </w:divBdr>
                                  <w:divsChild>
                                    <w:div w:id="451553787">
                                      <w:marLeft w:val="0"/>
                                      <w:marRight w:val="0"/>
                                      <w:marTop w:val="0"/>
                                      <w:marBottom w:val="0"/>
                                      <w:divBdr>
                                        <w:top w:val="none" w:sz="0" w:space="0" w:color="auto"/>
                                        <w:left w:val="none" w:sz="0" w:space="0" w:color="auto"/>
                                        <w:bottom w:val="none" w:sz="0" w:space="0" w:color="auto"/>
                                        <w:right w:val="none" w:sz="0" w:space="0" w:color="auto"/>
                                      </w:divBdr>
                                      <w:divsChild>
                                        <w:div w:id="4237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3564">
                                  <w:marLeft w:val="0"/>
                                  <w:marRight w:val="0"/>
                                  <w:marTop w:val="0"/>
                                  <w:marBottom w:val="450"/>
                                  <w:divBdr>
                                    <w:top w:val="none" w:sz="0" w:space="0" w:color="auto"/>
                                    <w:left w:val="none" w:sz="0" w:space="0" w:color="auto"/>
                                    <w:bottom w:val="none" w:sz="0" w:space="0" w:color="auto"/>
                                    <w:right w:val="none" w:sz="0" w:space="0" w:color="auto"/>
                                  </w:divBdr>
                                  <w:divsChild>
                                    <w:div w:id="166986512">
                                      <w:marLeft w:val="0"/>
                                      <w:marRight w:val="0"/>
                                      <w:marTop w:val="0"/>
                                      <w:marBottom w:val="0"/>
                                      <w:divBdr>
                                        <w:top w:val="none" w:sz="0" w:space="0" w:color="auto"/>
                                        <w:left w:val="none" w:sz="0" w:space="0" w:color="auto"/>
                                        <w:bottom w:val="none" w:sz="0" w:space="0" w:color="auto"/>
                                        <w:right w:val="none" w:sz="0" w:space="0" w:color="auto"/>
                                      </w:divBdr>
                                      <w:divsChild>
                                        <w:div w:id="18535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97951">
                                  <w:marLeft w:val="0"/>
                                  <w:marRight w:val="0"/>
                                  <w:marTop w:val="0"/>
                                  <w:marBottom w:val="450"/>
                                  <w:divBdr>
                                    <w:top w:val="none" w:sz="0" w:space="0" w:color="auto"/>
                                    <w:left w:val="none" w:sz="0" w:space="0" w:color="auto"/>
                                    <w:bottom w:val="none" w:sz="0" w:space="0" w:color="auto"/>
                                    <w:right w:val="none" w:sz="0" w:space="0" w:color="auto"/>
                                  </w:divBdr>
                                  <w:divsChild>
                                    <w:div w:id="1042560348">
                                      <w:marLeft w:val="0"/>
                                      <w:marRight w:val="0"/>
                                      <w:marTop w:val="0"/>
                                      <w:marBottom w:val="0"/>
                                      <w:divBdr>
                                        <w:top w:val="none" w:sz="0" w:space="0" w:color="auto"/>
                                        <w:left w:val="none" w:sz="0" w:space="0" w:color="auto"/>
                                        <w:bottom w:val="none" w:sz="0" w:space="0" w:color="auto"/>
                                        <w:right w:val="none" w:sz="0" w:space="0" w:color="auto"/>
                                      </w:divBdr>
                                      <w:divsChild>
                                        <w:div w:id="1194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8720">
                                  <w:marLeft w:val="0"/>
                                  <w:marRight w:val="0"/>
                                  <w:marTop w:val="0"/>
                                  <w:marBottom w:val="0"/>
                                  <w:divBdr>
                                    <w:top w:val="none" w:sz="0" w:space="0" w:color="auto"/>
                                    <w:left w:val="none" w:sz="0" w:space="0" w:color="auto"/>
                                    <w:bottom w:val="none" w:sz="0" w:space="0" w:color="auto"/>
                                    <w:right w:val="none" w:sz="0" w:space="0" w:color="auto"/>
                                  </w:divBdr>
                                  <w:divsChild>
                                    <w:div w:id="45035916">
                                      <w:marLeft w:val="0"/>
                                      <w:marRight w:val="0"/>
                                      <w:marTop w:val="0"/>
                                      <w:marBottom w:val="0"/>
                                      <w:divBdr>
                                        <w:top w:val="none" w:sz="0" w:space="0" w:color="auto"/>
                                        <w:left w:val="none" w:sz="0" w:space="0" w:color="auto"/>
                                        <w:bottom w:val="none" w:sz="0" w:space="0" w:color="auto"/>
                                        <w:right w:val="none" w:sz="0" w:space="0" w:color="auto"/>
                                      </w:divBdr>
                                      <w:divsChild>
                                        <w:div w:id="11561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6574">
                                  <w:marLeft w:val="0"/>
                                  <w:marRight w:val="0"/>
                                  <w:marTop w:val="0"/>
                                  <w:marBottom w:val="0"/>
                                  <w:divBdr>
                                    <w:top w:val="none" w:sz="0" w:space="0" w:color="auto"/>
                                    <w:left w:val="none" w:sz="0" w:space="0" w:color="auto"/>
                                    <w:bottom w:val="none" w:sz="0" w:space="0" w:color="auto"/>
                                    <w:right w:val="none" w:sz="0" w:space="0" w:color="auto"/>
                                  </w:divBdr>
                                  <w:divsChild>
                                    <w:div w:id="300579814">
                                      <w:marLeft w:val="0"/>
                                      <w:marRight w:val="0"/>
                                      <w:marTop w:val="0"/>
                                      <w:marBottom w:val="0"/>
                                      <w:divBdr>
                                        <w:top w:val="none" w:sz="0" w:space="0" w:color="auto"/>
                                        <w:left w:val="none" w:sz="0" w:space="0" w:color="auto"/>
                                        <w:bottom w:val="none" w:sz="0" w:space="0" w:color="auto"/>
                                        <w:right w:val="none" w:sz="0" w:space="0" w:color="auto"/>
                                      </w:divBdr>
                                    </w:div>
                                  </w:divsChild>
                                </w:div>
                                <w:div w:id="1735619582">
                                  <w:marLeft w:val="0"/>
                                  <w:marRight w:val="0"/>
                                  <w:marTop w:val="0"/>
                                  <w:marBottom w:val="450"/>
                                  <w:divBdr>
                                    <w:top w:val="none" w:sz="0" w:space="0" w:color="auto"/>
                                    <w:left w:val="none" w:sz="0" w:space="0" w:color="auto"/>
                                    <w:bottom w:val="none" w:sz="0" w:space="0" w:color="auto"/>
                                    <w:right w:val="none" w:sz="0" w:space="0" w:color="auto"/>
                                  </w:divBdr>
                                  <w:divsChild>
                                    <w:div w:id="1254707185">
                                      <w:marLeft w:val="0"/>
                                      <w:marRight w:val="0"/>
                                      <w:marTop w:val="0"/>
                                      <w:marBottom w:val="0"/>
                                      <w:divBdr>
                                        <w:top w:val="none" w:sz="0" w:space="0" w:color="auto"/>
                                        <w:left w:val="none" w:sz="0" w:space="0" w:color="auto"/>
                                        <w:bottom w:val="none" w:sz="0" w:space="0" w:color="auto"/>
                                        <w:right w:val="none" w:sz="0" w:space="0" w:color="auto"/>
                                      </w:divBdr>
                                    </w:div>
                                  </w:divsChild>
                                </w:div>
                                <w:div w:id="1845432026">
                                  <w:marLeft w:val="0"/>
                                  <w:marRight w:val="0"/>
                                  <w:marTop w:val="0"/>
                                  <w:marBottom w:val="450"/>
                                  <w:divBdr>
                                    <w:top w:val="none" w:sz="0" w:space="0" w:color="auto"/>
                                    <w:left w:val="none" w:sz="0" w:space="0" w:color="auto"/>
                                    <w:bottom w:val="none" w:sz="0" w:space="0" w:color="auto"/>
                                    <w:right w:val="none" w:sz="0" w:space="0" w:color="auto"/>
                                  </w:divBdr>
                                  <w:divsChild>
                                    <w:div w:id="1168254257">
                                      <w:marLeft w:val="0"/>
                                      <w:marRight w:val="0"/>
                                      <w:marTop w:val="0"/>
                                      <w:marBottom w:val="0"/>
                                      <w:divBdr>
                                        <w:top w:val="none" w:sz="0" w:space="0" w:color="auto"/>
                                        <w:left w:val="none" w:sz="0" w:space="0" w:color="auto"/>
                                        <w:bottom w:val="none" w:sz="0" w:space="0" w:color="auto"/>
                                        <w:right w:val="none" w:sz="0" w:space="0" w:color="auto"/>
                                      </w:divBdr>
                                    </w:div>
                                  </w:divsChild>
                                </w:div>
                                <w:div w:id="1908880871">
                                  <w:marLeft w:val="0"/>
                                  <w:marRight w:val="0"/>
                                  <w:marTop w:val="0"/>
                                  <w:marBottom w:val="450"/>
                                  <w:divBdr>
                                    <w:top w:val="none" w:sz="0" w:space="0" w:color="auto"/>
                                    <w:left w:val="none" w:sz="0" w:space="0" w:color="auto"/>
                                    <w:bottom w:val="none" w:sz="0" w:space="0" w:color="auto"/>
                                    <w:right w:val="none" w:sz="0" w:space="0" w:color="auto"/>
                                  </w:divBdr>
                                  <w:divsChild>
                                    <w:div w:id="14983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481546">
          <w:marLeft w:val="0"/>
          <w:marRight w:val="0"/>
          <w:marTop w:val="0"/>
          <w:marBottom w:val="0"/>
          <w:divBdr>
            <w:top w:val="none" w:sz="0" w:space="0" w:color="auto"/>
            <w:left w:val="none" w:sz="0" w:space="0" w:color="auto"/>
            <w:bottom w:val="none" w:sz="0" w:space="0" w:color="auto"/>
            <w:right w:val="none" w:sz="0" w:space="0" w:color="auto"/>
          </w:divBdr>
          <w:divsChild>
            <w:div w:id="1203060673">
              <w:marLeft w:val="0"/>
              <w:marRight w:val="0"/>
              <w:marTop w:val="0"/>
              <w:marBottom w:val="0"/>
              <w:divBdr>
                <w:top w:val="none" w:sz="0" w:space="0" w:color="auto"/>
                <w:left w:val="none" w:sz="0" w:space="0" w:color="auto"/>
                <w:bottom w:val="none" w:sz="0" w:space="0" w:color="auto"/>
                <w:right w:val="none" w:sz="0" w:space="0" w:color="auto"/>
              </w:divBdr>
              <w:divsChild>
                <w:div w:id="657152765">
                  <w:marLeft w:val="0"/>
                  <w:marRight w:val="0"/>
                  <w:marTop w:val="0"/>
                  <w:marBottom w:val="0"/>
                  <w:divBdr>
                    <w:top w:val="none" w:sz="0" w:space="0" w:color="auto"/>
                    <w:left w:val="none" w:sz="0" w:space="0" w:color="auto"/>
                    <w:bottom w:val="none" w:sz="0" w:space="0" w:color="auto"/>
                    <w:right w:val="none" w:sz="0" w:space="0" w:color="auto"/>
                  </w:divBdr>
                  <w:divsChild>
                    <w:div w:id="344669062">
                      <w:marLeft w:val="0"/>
                      <w:marRight w:val="0"/>
                      <w:marTop w:val="0"/>
                      <w:marBottom w:val="0"/>
                      <w:divBdr>
                        <w:top w:val="none" w:sz="0" w:space="0" w:color="auto"/>
                        <w:left w:val="none" w:sz="0" w:space="0" w:color="auto"/>
                        <w:bottom w:val="none" w:sz="0" w:space="0" w:color="auto"/>
                        <w:right w:val="none" w:sz="0" w:space="0" w:color="auto"/>
                      </w:divBdr>
                      <w:divsChild>
                        <w:div w:id="900137154">
                          <w:marLeft w:val="0"/>
                          <w:marRight w:val="0"/>
                          <w:marTop w:val="0"/>
                          <w:marBottom w:val="0"/>
                          <w:divBdr>
                            <w:top w:val="none" w:sz="0" w:space="0" w:color="auto"/>
                            <w:left w:val="none" w:sz="0" w:space="0" w:color="auto"/>
                            <w:bottom w:val="none" w:sz="0" w:space="0" w:color="auto"/>
                            <w:right w:val="none" w:sz="0" w:space="0" w:color="auto"/>
                          </w:divBdr>
                          <w:divsChild>
                            <w:div w:id="188878300">
                              <w:marLeft w:val="0"/>
                              <w:marRight w:val="0"/>
                              <w:marTop w:val="0"/>
                              <w:marBottom w:val="0"/>
                              <w:divBdr>
                                <w:top w:val="none" w:sz="0" w:space="0" w:color="auto"/>
                                <w:left w:val="none" w:sz="0" w:space="0" w:color="auto"/>
                                <w:bottom w:val="none" w:sz="0" w:space="0" w:color="auto"/>
                                <w:right w:val="none" w:sz="0" w:space="0" w:color="auto"/>
                              </w:divBdr>
                              <w:divsChild>
                                <w:div w:id="1833719404">
                                  <w:marLeft w:val="0"/>
                                  <w:marRight w:val="0"/>
                                  <w:marTop w:val="0"/>
                                  <w:marBottom w:val="0"/>
                                  <w:divBdr>
                                    <w:top w:val="none" w:sz="0" w:space="0" w:color="auto"/>
                                    <w:left w:val="none" w:sz="0" w:space="0" w:color="auto"/>
                                    <w:bottom w:val="none" w:sz="0" w:space="0" w:color="auto"/>
                                    <w:right w:val="none" w:sz="0" w:space="0" w:color="auto"/>
                                  </w:divBdr>
                                  <w:divsChild>
                                    <w:div w:id="15926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2347">
                              <w:marLeft w:val="0"/>
                              <w:marRight w:val="0"/>
                              <w:marTop w:val="0"/>
                              <w:marBottom w:val="450"/>
                              <w:divBdr>
                                <w:top w:val="none" w:sz="0" w:space="0" w:color="auto"/>
                                <w:left w:val="none" w:sz="0" w:space="0" w:color="auto"/>
                                <w:bottom w:val="none" w:sz="0" w:space="0" w:color="auto"/>
                                <w:right w:val="none" w:sz="0" w:space="0" w:color="auto"/>
                              </w:divBdr>
                              <w:divsChild>
                                <w:div w:id="2104840109">
                                  <w:marLeft w:val="0"/>
                                  <w:marRight w:val="0"/>
                                  <w:marTop w:val="0"/>
                                  <w:marBottom w:val="0"/>
                                  <w:divBdr>
                                    <w:top w:val="none" w:sz="0" w:space="0" w:color="auto"/>
                                    <w:left w:val="none" w:sz="0" w:space="0" w:color="auto"/>
                                    <w:bottom w:val="none" w:sz="0" w:space="0" w:color="auto"/>
                                    <w:right w:val="none" w:sz="0" w:space="0" w:color="auto"/>
                                  </w:divBdr>
                                  <w:divsChild>
                                    <w:div w:id="679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7090">
                              <w:marLeft w:val="0"/>
                              <w:marRight w:val="0"/>
                              <w:marTop w:val="0"/>
                              <w:marBottom w:val="450"/>
                              <w:divBdr>
                                <w:top w:val="none" w:sz="0" w:space="0" w:color="auto"/>
                                <w:left w:val="none" w:sz="0" w:space="0" w:color="auto"/>
                                <w:bottom w:val="none" w:sz="0" w:space="0" w:color="auto"/>
                                <w:right w:val="none" w:sz="0" w:space="0" w:color="auto"/>
                              </w:divBdr>
                              <w:divsChild>
                                <w:div w:id="734208882">
                                  <w:marLeft w:val="0"/>
                                  <w:marRight w:val="0"/>
                                  <w:marTop w:val="0"/>
                                  <w:marBottom w:val="0"/>
                                  <w:divBdr>
                                    <w:top w:val="none" w:sz="0" w:space="0" w:color="auto"/>
                                    <w:left w:val="none" w:sz="0" w:space="0" w:color="auto"/>
                                    <w:bottom w:val="none" w:sz="0" w:space="0" w:color="auto"/>
                                    <w:right w:val="none" w:sz="0" w:space="0" w:color="auto"/>
                                  </w:divBdr>
                                </w:div>
                              </w:divsChild>
                            </w:div>
                            <w:div w:id="2027251438">
                              <w:marLeft w:val="0"/>
                              <w:marRight w:val="0"/>
                              <w:marTop w:val="0"/>
                              <w:marBottom w:val="450"/>
                              <w:divBdr>
                                <w:top w:val="none" w:sz="0" w:space="0" w:color="auto"/>
                                <w:left w:val="none" w:sz="0" w:space="0" w:color="auto"/>
                                <w:bottom w:val="none" w:sz="0" w:space="0" w:color="auto"/>
                                <w:right w:val="none" w:sz="0" w:space="0" w:color="auto"/>
                              </w:divBdr>
                              <w:divsChild>
                                <w:div w:id="18477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32000">
      <w:bodyDiv w:val="1"/>
      <w:marLeft w:val="0"/>
      <w:marRight w:val="0"/>
      <w:marTop w:val="0"/>
      <w:marBottom w:val="0"/>
      <w:divBdr>
        <w:top w:val="none" w:sz="0" w:space="0" w:color="auto"/>
        <w:left w:val="none" w:sz="0" w:space="0" w:color="auto"/>
        <w:bottom w:val="none" w:sz="0" w:space="0" w:color="auto"/>
        <w:right w:val="none" w:sz="0" w:space="0" w:color="auto"/>
      </w:divBdr>
    </w:div>
    <w:div w:id="416899784">
      <w:bodyDiv w:val="1"/>
      <w:marLeft w:val="0"/>
      <w:marRight w:val="0"/>
      <w:marTop w:val="0"/>
      <w:marBottom w:val="0"/>
      <w:divBdr>
        <w:top w:val="none" w:sz="0" w:space="0" w:color="auto"/>
        <w:left w:val="none" w:sz="0" w:space="0" w:color="auto"/>
        <w:bottom w:val="none" w:sz="0" w:space="0" w:color="auto"/>
        <w:right w:val="none" w:sz="0" w:space="0" w:color="auto"/>
      </w:divBdr>
    </w:div>
    <w:div w:id="760611062">
      <w:bodyDiv w:val="1"/>
      <w:marLeft w:val="0"/>
      <w:marRight w:val="0"/>
      <w:marTop w:val="0"/>
      <w:marBottom w:val="0"/>
      <w:divBdr>
        <w:top w:val="none" w:sz="0" w:space="0" w:color="auto"/>
        <w:left w:val="none" w:sz="0" w:space="0" w:color="auto"/>
        <w:bottom w:val="none" w:sz="0" w:space="0" w:color="auto"/>
        <w:right w:val="none" w:sz="0" w:space="0" w:color="auto"/>
      </w:divBdr>
    </w:div>
    <w:div w:id="1364479419">
      <w:bodyDiv w:val="1"/>
      <w:marLeft w:val="0"/>
      <w:marRight w:val="0"/>
      <w:marTop w:val="0"/>
      <w:marBottom w:val="0"/>
      <w:divBdr>
        <w:top w:val="none" w:sz="0" w:space="0" w:color="auto"/>
        <w:left w:val="none" w:sz="0" w:space="0" w:color="auto"/>
        <w:bottom w:val="none" w:sz="0" w:space="0" w:color="auto"/>
        <w:right w:val="none" w:sz="0" w:space="0" w:color="auto"/>
      </w:divBdr>
    </w:div>
    <w:div w:id="1452823731">
      <w:bodyDiv w:val="1"/>
      <w:marLeft w:val="0"/>
      <w:marRight w:val="0"/>
      <w:marTop w:val="0"/>
      <w:marBottom w:val="0"/>
      <w:divBdr>
        <w:top w:val="none" w:sz="0" w:space="0" w:color="auto"/>
        <w:left w:val="none" w:sz="0" w:space="0" w:color="auto"/>
        <w:bottom w:val="none" w:sz="0" w:space="0" w:color="auto"/>
        <w:right w:val="none" w:sz="0" w:space="0" w:color="auto"/>
      </w:divBdr>
    </w:div>
    <w:div w:id="1591037256">
      <w:bodyDiv w:val="1"/>
      <w:marLeft w:val="0"/>
      <w:marRight w:val="0"/>
      <w:marTop w:val="0"/>
      <w:marBottom w:val="0"/>
      <w:divBdr>
        <w:top w:val="none" w:sz="0" w:space="0" w:color="auto"/>
        <w:left w:val="none" w:sz="0" w:space="0" w:color="auto"/>
        <w:bottom w:val="none" w:sz="0" w:space="0" w:color="auto"/>
        <w:right w:val="none" w:sz="0" w:space="0" w:color="auto"/>
      </w:divBdr>
    </w:div>
    <w:div w:id="1658458322">
      <w:bodyDiv w:val="1"/>
      <w:marLeft w:val="0"/>
      <w:marRight w:val="0"/>
      <w:marTop w:val="0"/>
      <w:marBottom w:val="0"/>
      <w:divBdr>
        <w:top w:val="none" w:sz="0" w:space="0" w:color="auto"/>
        <w:left w:val="none" w:sz="0" w:space="0" w:color="auto"/>
        <w:bottom w:val="none" w:sz="0" w:space="0" w:color="auto"/>
        <w:right w:val="none" w:sz="0" w:space="0" w:color="auto"/>
      </w:divBdr>
    </w:div>
    <w:div w:id="1660692484">
      <w:bodyDiv w:val="1"/>
      <w:marLeft w:val="0"/>
      <w:marRight w:val="0"/>
      <w:marTop w:val="0"/>
      <w:marBottom w:val="0"/>
      <w:divBdr>
        <w:top w:val="none" w:sz="0" w:space="0" w:color="auto"/>
        <w:left w:val="none" w:sz="0" w:space="0" w:color="auto"/>
        <w:bottom w:val="none" w:sz="0" w:space="0" w:color="auto"/>
        <w:right w:val="none" w:sz="0" w:space="0" w:color="auto"/>
      </w:divBdr>
    </w:div>
    <w:div w:id="1702125008">
      <w:bodyDiv w:val="1"/>
      <w:marLeft w:val="0"/>
      <w:marRight w:val="0"/>
      <w:marTop w:val="0"/>
      <w:marBottom w:val="0"/>
      <w:divBdr>
        <w:top w:val="none" w:sz="0" w:space="0" w:color="auto"/>
        <w:left w:val="none" w:sz="0" w:space="0" w:color="auto"/>
        <w:bottom w:val="none" w:sz="0" w:space="0" w:color="auto"/>
        <w:right w:val="none" w:sz="0" w:space="0" w:color="auto"/>
      </w:divBdr>
    </w:div>
    <w:div w:id="211544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D190-922E-4099-BB9B-D13821BF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Fainstad</dc:creator>
  <cp:keywords/>
  <dc:description/>
  <cp:lastModifiedBy>Yilin Zhang</cp:lastModifiedBy>
  <cp:revision>12</cp:revision>
  <dcterms:created xsi:type="dcterms:W3CDTF">2022-03-30T18:45:00Z</dcterms:created>
  <dcterms:modified xsi:type="dcterms:W3CDTF">2022-03-30T19:30:00Z</dcterms:modified>
</cp:coreProperties>
</file>