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250B7" w14:textId="7794920E" w:rsidR="00BE73DA" w:rsidRPr="00EC5ADF" w:rsidRDefault="1A84C4E1" w:rsidP="1A84C4E1">
      <w:pPr>
        <w:spacing w:after="0" w:line="240" w:lineRule="auto"/>
        <w:contextualSpacing/>
        <w:rPr>
          <w:rFonts w:eastAsiaTheme="minorEastAsia"/>
          <w:b/>
          <w:bCs/>
          <w:color w:val="000000" w:themeColor="text1"/>
        </w:rPr>
      </w:pPr>
      <w:r w:rsidRPr="1A84C4E1">
        <w:rPr>
          <w:rFonts w:eastAsiaTheme="minorEastAsia"/>
          <w:b/>
          <w:bCs/>
          <w:color w:val="000000" w:themeColor="text1"/>
        </w:rPr>
        <w:t xml:space="preserve">Author(s): </w:t>
      </w:r>
      <w:r w:rsidRPr="1A84C4E1">
        <w:rPr>
          <w:rFonts w:eastAsiaTheme="minorEastAsia"/>
          <w:color w:val="000000" w:themeColor="text1"/>
        </w:rPr>
        <w:t xml:space="preserve">Cara Saxon, MD, Natalie </w:t>
      </w:r>
      <w:proofErr w:type="spellStart"/>
      <w:r w:rsidRPr="1A84C4E1">
        <w:rPr>
          <w:rFonts w:eastAsiaTheme="minorEastAsia"/>
          <w:color w:val="000000" w:themeColor="text1"/>
        </w:rPr>
        <w:t>Dequillfeldt</w:t>
      </w:r>
      <w:proofErr w:type="spellEnd"/>
      <w:r w:rsidRPr="1A84C4E1">
        <w:rPr>
          <w:rFonts w:eastAsiaTheme="minorEastAsia"/>
          <w:color w:val="000000" w:themeColor="text1"/>
        </w:rPr>
        <w:t xml:space="preserve">, Katherine </w:t>
      </w:r>
      <w:proofErr w:type="spellStart"/>
      <w:r w:rsidRPr="1A84C4E1">
        <w:rPr>
          <w:rFonts w:eastAsiaTheme="minorEastAsia"/>
          <w:color w:val="000000" w:themeColor="text1"/>
        </w:rPr>
        <w:t>Jankousky</w:t>
      </w:r>
      <w:proofErr w:type="spellEnd"/>
      <w:r w:rsidRPr="1A84C4E1">
        <w:rPr>
          <w:rFonts w:eastAsiaTheme="minorEastAsia"/>
          <w:color w:val="000000" w:themeColor="text1"/>
        </w:rPr>
        <w:t>, MD, Kathryn Guinn, MD</w:t>
      </w:r>
    </w:p>
    <w:p w14:paraId="39C250B8" w14:textId="22D44E3B" w:rsidR="00BE73DA" w:rsidRDefault="1A84C4E1" w:rsidP="1A84C4E1">
      <w:pPr>
        <w:spacing w:after="0" w:line="240" w:lineRule="auto"/>
        <w:contextualSpacing/>
        <w:rPr>
          <w:rFonts w:eastAsiaTheme="minorEastAsia"/>
          <w:color w:val="000000" w:themeColor="text1"/>
        </w:rPr>
      </w:pPr>
      <w:r w:rsidRPr="1A84C4E1">
        <w:rPr>
          <w:rFonts w:eastAsiaTheme="minorEastAsia"/>
          <w:b/>
          <w:bCs/>
          <w:color w:val="000000" w:themeColor="text1"/>
        </w:rPr>
        <w:t xml:space="preserve">Expert Reviewer(s): </w:t>
      </w:r>
      <w:r w:rsidRPr="1A84C4E1">
        <w:rPr>
          <w:rFonts w:eastAsiaTheme="minorEastAsia"/>
          <w:color w:val="000000" w:themeColor="text1"/>
        </w:rPr>
        <w:t>Jill Wagoner, MD</w:t>
      </w:r>
    </w:p>
    <w:p w14:paraId="4157BE75" w14:textId="4C387F6C" w:rsidR="007C47B2" w:rsidRDefault="1A84C4E1" w:rsidP="1A84C4E1">
      <w:pPr>
        <w:spacing w:after="0" w:line="240" w:lineRule="auto"/>
        <w:contextualSpacing/>
        <w:rPr>
          <w:rFonts w:eastAsiaTheme="minorEastAsia"/>
          <w:color w:val="000000" w:themeColor="text1"/>
        </w:rPr>
      </w:pPr>
      <w:r w:rsidRPr="1A84C4E1">
        <w:rPr>
          <w:rFonts w:eastAsiaTheme="minorEastAsia"/>
          <w:b/>
          <w:bCs/>
          <w:color w:val="000000" w:themeColor="text1"/>
        </w:rPr>
        <w:t>Section Editor:</w:t>
      </w:r>
      <w:r w:rsidRPr="1A84C4E1">
        <w:rPr>
          <w:rFonts w:eastAsiaTheme="minorEastAsia"/>
          <w:color w:val="000000" w:themeColor="text1"/>
        </w:rPr>
        <w:t xml:space="preserve"> Molly Brett, MD</w:t>
      </w:r>
    </w:p>
    <w:p w14:paraId="6D5B9597" w14:textId="77777777" w:rsidR="00E1755F" w:rsidRPr="00EC5ADF" w:rsidRDefault="00E1755F" w:rsidP="1A84C4E1">
      <w:pPr>
        <w:spacing w:after="0" w:line="240" w:lineRule="auto"/>
        <w:contextualSpacing/>
        <w:rPr>
          <w:rFonts w:eastAsiaTheme="minorEastAsia"/>
          <w:b/>
          <w:bCs/>
          <w:color w:val="000000" w:themeColor="text1"/>
        </w:rPr>
      </w:pPr>
    </w:p>
    <w:p w14:paraId="39C250B9" w14:textId="643B8768" w:rsidR="00BE73DA" w:rsidRPr="00EC5ADF" w:rsidRDefault="1A84C4E1" w:rsidP="1A84C4E1">
      <w:pPr>
        <w:spacing w:after="0" w:line="240" w:lineRule="auto"/>
        <w:contextualSpacing/>
        <w:outlineLvl w:val="1"/>
        <w:rPr>
          <w:rFonts w:eastAsiaTheme="minorEastAsia"/>
          <w:color w:val="000000" w:themeColor="text1"/>
        </w:rPr>
      </w:pPr>
      <w:r w:rsidRPr="1A84C4E1">
        <w:rPr>
          <w:rFonts w:eastAsiaTheme="minorEastAsia"/>
          <w:b/>
          <w:bCs/>
          <w:color w:val="000000" w:themeColor="text1"/>
        </w:rPr>
        <w:t>Objectives</w:t>
      </w:r>
      <w:r w:rsidRPr="1A84C4E1">
        <w:rPr>
          <w:rFonts w:eastAsiaTheme="minorEastAsia"/>
          <w:color w:val="000000" w:themeColor="text1"/>
        </w:rPr>
        <w:t>:</w:t>
      </w:r>
    </w:p>
    <w:p w14:paraId="382565B2" w14:textId="77777777" w:rsidR="000F4CF4" w:rsidRPr="00EC5ADF" w:rsidRDefault="000F4CF4" w:rsidP="1A84C4E1">
      <w:pPr>
        <w:pStyle w:val="ListParagraph"/>
        <w:numPr>
          <w:ilvl w:val="0"/>
          <w:numId w:val="11"/>
        </w:numPr>
        <w:shd w:val="clear" w:color="auto" w:fill="FEFEFE"/>
        <w:spacing w:after="0" w:line="240" w:lineRule="auto"/>
        <w:rPr>
          <w:rFonts w:eastAsiaTheme="minorEastAsia"/>
          <w:color w:val="000000" w:themeColor="text1"/>
          <w:spacing w:val="4"/>
        </w:rPr>
      </w:pPr>
      <w:r w:rsidRPr="1A84C4E1">
        <w:rPr>
          <w:rFonts w:eastAsiaTheme="minorEastAsia"/>
          <w:color w:val="000000" w:themeColor="text1"/>
          <w:spacing w:val="4"/>
        </w:rPr>
        <w:t>Apply osteoporosis screening guidelines to patients based on age and risk factors</w:t>
      </w:r>
    </w:p>
    <w:p w14:paraId="4B019281" w14:textId="37D4A183" w:rsidR="00A819C7" w:rsidRPr="00EC5ADF" w:rsidRDefault="00A819C7" w:rsidP="1A84C4E1">
      <w:pPr>
        <w:pStyle w:val="ListParagraph"/>
        <w:numPr>
          <w:ilvl w:val="0"/>
          <w:numId w:val="11"/>
        </w:numPr>
        <w:shd w:val="clear" w:color="auto" w:fill="FEFEFE"/>
        <w:spacing w:after="0" w:line="240" w:lineRule="auto"/>
        <w:rPr>
          <w:rFonts w:eastAsiaTheme="minorEastAsia"/>
          <w:color w:val="000000" w:themeColor="text1"/>
          <w:spacing w:val="4"/>
        </w:rPr>
      </w:pPr>
      <w:r w:rsidRPr="1A84C4E1">
        <w:rPr>
          <w:rFonts w:eastAsiaTheme="minorEastAsia"/>
          <w:color w:val="000000" w:themeColor="text1"/>
          <w:spacing w:val="4"/>
        </w:rPr>
        <w:t xml:space="preserve">Diagnose osteoporosis based on 3 defined criteria </w:t>
      </w:r>
    </w:p>
    <w:p w14:paraId="24E4793E" w14:textId="715B2773" w:rsidR="00A819C7" w:rsidRPr="00EC5ADF" w:rsidRDefault="00A819C7" w:rsidP="1A84C4E1">
      <w:pPr>
        <w:pStyle w:val="ListParagraph"/>
        <w:numPr>
          <w:ilvl w:val="0"/>
          <w:numId w:val="11"/>
        </w:numPr>
        <w:shd w:val="clear" w:color="auto" w:fill="FEFEFE"/>
        <w:spacing w:after="0" w:line="240" w:lineRule="auto"/>
        <w:rPr>
          <w:rFonts w:eastAsiaTheme="minorEastAsia"/>
          <w:color w:val="000000" w:themeColor="text1"/>
          <w:spacing w:val="4"/>
        </w:rPr>
      </w:pPr>
      <w:r w:rsidRPr="1A84C4E1">
        <w:rPr>
          <w:rFonts w:eastAsiaTheme="minorEastAsia"/>
          <w:color w:val="000000" w:themeColor="text1"/>
          <w:spacing w:val="4"/>
        </w:rPr>
        <w:t>Analyze and apply appropriate treatment options for osteoporosis</w:t>
      </w:r>
    </w:p>
    <w:p w14:paraId="39C250BA" w14:textId="5A5E9525" w:rsidR="00BE73DA" w:rsidRPr="00E1755F" w:rsidRDefault="00A819C7" w:rsidP="1A84C4E1">
      <w:pPr>
        <w:pStyle w:val="ListParagraph"/>
        <w:numPr>
          <w:ilvl w:val="0"/>
          <w:numId w:val="11"/>
        </w:numPr>
        <w:shd w:val="clear" w:color="auto" w:fill="FEFEFE"/>
        <w:spacing w:after="0" w:line="240" w:lineRule="auto"/>
        <w:rPr>
          <w:rFonts w:eastAsiaTheme="minorEastAsia"/>
          <w:color w:val="000000" w:themeColor="text1"/>
          <w:spacing w:val="4"/>
        </w:rPr>
      </w:pPr>
      <w:r w:rsidRPr="1A84C4E1">
        <w:rPr>
          <w:rFonts w:eastAsiaTheme="minorEastAsia"/>
          <w:color w:val="000000" w:themeColor="text1"/>
          <w:spacing w:val="4"/>
        </w:rPr>
        <w:t xml:space="preserve">Determine appropriate monitoring strategies for those with and at risk for osteoporosis </w:t>
      </w:r>
    </w:p>
    <w:p w14:paraId="39C250BB" w14:textId="77777777" w:rsidR="00307A15" w:rsidRPr="00EC5ADF" w:rsidRDefault="00307A15" w:rsidP="1A84C4E1">
      <w:pPr>
        <w:spacing w:after="0" w:line="240" w:lineRule="auto"/>
        <w:outlineLvl w:val="1"/>
        <w:rPr>
          <w:rFonts w:eastAsiaTheme="minorEastAsia"/>
          <w:color w:val="000000" w:themeColor="text1"/>
        </w:rPr>
      </w:pPr>
    </w:p>
    <w:p w14:paraId="7ED58CB8" w14:textId="77B6195B" w:rsidR="004F6F8E" w:rsidRPr="00EC5ADF" w:rsidRDefault="1A84C4E1" w:rsidP="1A84C4E1">
      <w:pPr>
        <w:spacing w:after="0" w:line="240" w:lineRule="auto"/>
        <w:contextualSpacing/>
        <w:rPr>
          <w:rFonts w:eastAsiaTheme="minorEastAsia"/>
          <w:color w:val="000000" w:themeColor="text1"/>
        </w:rPr>
      </w:pPr>
      <w:r w:rsidRPr="1A84C4E1">
        <w:rPr>
          <w:rFonts w:eastAsiaTheme="minorEastAsia"/>
          <w:b/>
          <w:bCs/>
          <w:color w:val="000000" w:themeColor="text1"/>
        </w:rPr>
        <w:t>Teaching Instructions</w:t>
      </w:r>
      <w:r w:rsidR="007C47B2">
        <w:rPr>
          <w:rFonts w:eastAsiaTheme="minorEastAsia"/>
          <w:b/>
          <w:bCs/>
          <w:color w:val="000000" w:themeColor="text1"/>
        </w:rPr>
        <w:t>:</w:t>
      </w:r>
    </w:p>
    <w:p w14:paraId="0D0FEEBD" w14:textId="77A88DD4" w:rsidR="1A84C4E1" w:rsidRPr="00B8145A" w:rsidRDefault="004F6F8E" w:rsidP="00B8145A">
      <w:pPr>
        <w:spacing w:after="100" w:afterAutospacing="1" w:line="240" w:lineRule="auto"/>
        <w:rPr>
          <w:rFonts w:eastAsiaTheme="minorEastAsia"/>
          <w:color w:val="000000" w:themeColor="text1"/>
          <w:spacing w:val="4"/>
        </w:rPr>
      </w:pPr>
      <w:r w:rsidRPr="1A84C4E1">
        <w:rPr>
          <w:rFonts w:eastAsiaTheme="minorEastAsia"/>
          <w:color w:val="000000" w:themeColor="text1"/>
          <w:spacing w:val="4"/>
        </w:rPr>
        <w:t>Plan to spend at least 20 minutes preparing for this talk by using the interactive board for learning/preparing, clicking through the graphic, and becoming familiar with the order of the content that appears on the graphic. The teaching script below details how to walk through the talk. Every interactive or “clickable” element is denoted with a rounded box and cursor icon.</w:t>
      </w:r>
    </w:p>
    <w:p w14:paraId="02AD634B" w14:textId="44D7BC70" w:rsidR="1A84C4E1" w:rsidRDefault="004F6F8E" w:rsidP="007C682A">
      <w:pPr>
        <w:spacing w:after="100" w:afterAutospacing="1" w:line="240" w:lineRule="auto"/>
        <w:rPr>
          <w:rFonts w:eastAsiaTheme="minorEastAsia"/>
          <w:b/>
          <w:bCs/>
          <w:color w:val="000000" w:themeColor="text1"/>
        </w:rPr>
      </w:pPr>
      <w:r w:rsidRPr="1A84C4E1">
        <w:rPr>
          <w:rFonts w:eastAsiaTheme="minorEastAsia"/>
          <w:b/>
          <w:bCs/>
          <w:color w:val="000000" w:themeColor="text1"/>
          <w:spacing w:val="4"/>
        </w:rPr>
        <w:t>Anticipated time to deliver the talk with and without cases or o</w:t>
      </w:r>
      <w:r w:rsidR="00A819C7" w:rsidRPr="1A84C4E1">
        <w:rPr>
          <w:rFonts w:eastAsiaTheme="minorEastAsia"/>
          <w:b/>
          <w:bCs/>
          <w:color w:val="000000" w:themeColor="text1"/>
          <w:spacing w:val="4"/>
        </w:rPr>
        <w:t xml:space="preserve">ther features: without cases </w:t>
      </w:r>
      <w:r w:rsidRPr="1A84C4E1">
        <w:rPr>
          <w:rFonts w:eastAsiaTheme="minorEastAsia"/>
          <w:b/>
          <w:bCs/>
          <w:color w:val="000000" w:themeColor="text1"/>
          <w:spacing w:val="4"/>
        </w:rPr>
        <w:t>20</w:t>
      </w:r>
      <w:r w:rsidR="00A819C7" w:rsidRPr="1A84C4E1">
        <w:rPr>
          <w:rFonts w:eastAsiaTheme="minorEastAsia"/>
          <w:b/>
          <w:bCs/>
          <w:color w:val="000000" w:themeColor="text1"/>
          <w:spacing w:val="4"/>
        </w:rPr>
        <w:t>-25</w:t>
      </w:r>
      <w:r w:rsidRPr="1A84C4E1">
        <w:rPr>
          <w:rFonts w:eastAsiaTheme="minorEastAsia"/>
          <w:b/>
          <w:bCs/>
          <w:color w:val="000000" w:themeColor="text1"/>
          <w:spacing w:val="4"/>
        </w:rPr>
        <w:t xml:space="preserve"> minutes. The cases may take an additional 10-15 min.</w:t>
      </w:r>
    </w:p>
    <w:p w14:paraId="0B827736" w14:textId="068D5954" w:rsidR="1A84C4E1" w:rsidRPr="00B8145A" w:rsidRDefault="004F6F8E" w:rsidP="00B8145A">
      <w:pPr>
        <w:spacing w:after="100" w:afterAutospacing="1" w:line="240" w:lineRule="auto"/>
        <w:rPr>
          <w:rFonts w:eastAsiaTheme="minorEastAsia"/>
          <w:color w:val="000000" w:themeColor="text1"/>
          <w:spacing w:val="4"/>
        </w:rPr>
      </w:pPr>
      <w:r w:rsidRPr="1A84C4E1">
        <w:rPr>
          <w:rFonts w:eastAsiaTheme="minorEastAsia"/>
          <w:color w:val="000000" w:themeColor="text1"/>
          <w:spacing w:val="4"/>
        </w:rPr>
        <w:t>The talk can be presented in two ways:</w:t>
      </w:r>
      <w:r w:rsidRPr="00EC5ADF">
        <w:rPr>
          <w:rFonts w:cstheme="minorHAnsi"/>
          <w:color w:val="000000" w:themeColor="text1"/>
          <w:spacing w:val="4"/>
        </w:rPr>
        <w:br/>
      </w:r>
      <w:r w:rsidRPr="1A84C4E1">
        <w:rPr>
          <w:rFonts w:eastAsiaTheme="minorEastAsia"/>
          <w:color w:val="000000" w:themeColor="text1"/>
          <w:spacing w:val="4"/>
        </w:rPr>
        <w:t>1. Project the “interactive Board for Presentation” OR</w:t>
      </w:r>
      <w:r w:rsidRPr="00EC5ADF">
        <w:rPr>
          <w:rFonts w:cstheme="minorHAnsi"/>
          <w:color w:val="000000" w:themeColor="text1"/>
          <w:spacing w:val="4"/>
        </w:rPr>
        <w:br/>
      </w:r>
      <w:r w:rsidRPr="1A84C4E1">
        <w:rPr>
          <w:rFonts w:eastAsiaTheme="minorEastAsia"/>
          <w:color w:val="000000" w:themeColor="text1"/>
          <w:spacing w:val="4"/>
        </w:rPr>
        <w:t>2. Reproduce your own drawing of the presentation on a whiteboard.</w:t>
      </w:r>
      <w:r w:rsidRPr="00EC5ADF">
        <w:rPr>
          <w:rFonts w:cstheme="minorHAnsi"/>
          <w:color w:val="000000" w:themeColor="text1"/>
          <w:spacing w:val="4"/>
        </w:rPr>
        <w:br/>
      </w:r>
      <w:r w:rsidRPr="1A84C4E1">
        <w:rPr>
          <w:rFonts w:eastAsiaTheme="minorEastAsia"/>
          <w:color w:val="000000" w:themeColor="text1"/>
          <w:spacing w:val="4"/>
        </w:rPr>
        <w:t>With either method, print out copies of the Learner’s Summary Handout so they may have this for reference after the discussion. Begin with reviewing the objectives for the session.</w:t>
      </w:r>
    </w:p>
    <w:p w14:paraId="78F0108B" w14:textId="77777777" w:rsidR="000F4CF4" w:rsidRPr="007C682A" w:rsidRDefault="004F6F8E" w:rsidP="1A84C4E1">
      <w:pPr>
        <w:shd w:val="clear" w:color="auto" w:fill="FEFEFE"/>
        <w:spacing w:after="0" w:line="240" w:lineRule="auto"/>
        <w:rPr>
          <w:rFonts w:eastAsiaTheme="minorEastAsia"/>
          <w:b/>
          <w:bCs/>
          <w:color w:val="000000" w:themeColor="text1"/>
          <w:spacing w:val="4"/>
        </w:rPr>
      </w:pPr>
      <w:r w:rsidRPr="1A84C4E1">
        <w:rPr>
          <w:rFonts w:eastAsiaTheme="minorEastAsia"/>
          <w:b/>
          <w:bCs/>
          <w:color w:val="000000" w:themeColor="text1"/>
          <w:spacing w:val="4"/>
        </w:rPr>
        <w:t>Objective 1:</w:t>
      </w:r>
      <w:r w:rsidRPr="1A84C4E1">
        <w:rPr>
          <w:rFonts w:eastAsiaTheme="minorEastAsia"/>
          <w:color w:val="000000" w:themeColor="text1"/>
          <w:spacing w:val="4"/>
        </w:rPr>
        <w:t> </w:t>
      </w:r>
      <w:r w:rsidR="000F4CF4" w:rsidRPr="007C682A">
        <w:rPr>
          <w:rFonts w:eastAsiaTheme="minorEastAsia"/>
          <w:b/>
          <w:bCs/>
          <w:color w:val="000000" w:themeColor="text1"/>
          <w:spacing w:val="4"/>
        </w:rPr>
        <w:t xml:space="preserve">Apply osteoporosis screening guidelines to patients based on age and risk factors </w:t>
      </w:r>
    </w:p>
    <w:p w14:paraId="5B176B32" w14:textId="70449782" w:rsidR="004F6F8E" w:rsidRPr="007C47B2" w:rsidRDefault="00A819C7" w:rsidP="007C47B2">
      <w:pPr>
        <w:shd w:val="clear" w:color="auto" w:fill="FEFEFE"/>
        <w:spacing w:after="0" w:line="240" w:lineRule="auto"/>
        <w:rPr>
          <w:rFonts w:eastAsiaTheme="minorEastAsia"/>
          <w:color w:val="000000" w:themeColor="text1"/>
          <w:spacing w:val="4"/>
        </w:rPr>
      </w:pPr>
      <w:r w:rsidRPr="007C47B2">
        <w:rPr>
          <w:rFonts w:eastAsiaTheme="minorEastAsia"/>
          <w:color w:val="000000" w:themeColor="text1"/>
          <w:spacing w:val="4"/>
        </w:rPr>
        <w:t>Ask your learners how they would describe osteoporosis at the bone level.</w:t>
      </w:r>
      <w:r w:rsidRPr="007C47B2">
        <w:rPr>
          <w:rFonts w:eastAsiaTheme="minorEastAsia"/>
          <w:i/>
          <w:iCs/>
          <w:color w:val="000000" w:themeColor="text1"/>
          <w:spacing w:val="4"/>
        </w:rPr>
        <w:t xml:space="preserve"> </w:t>
      </w:r>
      <w:r w:rsidR="004F6B09" w:rsidRPr="007C47B2">
        <w:rPr>
          <w:rFonts w:eastAsiaTheme="minorEastAsia"/>
          <w:i/>
          <w:iCs/>
          <w:color w:val="000000" w:themeColor="text1"/>
          <w:spacing w:val="4"/>
        </w:rPr>
        <w:t>Click on “what is osteoporosis”</w:t>
      </w:r>
      <w:r w:rsidRPr="007C47B2">
        <w:rPr>
          <w:rFonts w:eastAsiaTheme="minorEastAsia"/>
          <w:i/>
          <w:iCs/>
          <w:color w:val="000000" w:themeColor="text1"/>
          <w:spacing w:val="4"/>
        </w:rPr>
        <w:t xml:space="preserve"> button to reveal the answer. </w:t>
      </w:r>
      <w:r w:rsidRPr="007C47B2">
        <w:rPr>
          <w:rFonts w:eastAsiaTheme="minorEastAsia"/>
          <w:color w:val="000000" w:themeColor="text1"/>
          <w:spacing w:val="4"/>
        </w:rPr>
        <w:t xml:space="preserve">Emphasize that it is a combination of loss of bone mass and architectural integrity leading to skeletal fragility. </w:t>
      </w:r>
    </w:p>
    <w:p w14:paraId="04FB810B" w14:textId="77777777" w:rsidR="007C47B2" w:rsidRDefault="004F6F8E" w:rsidP="1A84C4E1">
      <w:pPr>
        <w:numPr>
          <w:ilvl w:val="0"/>
          <w:numId w:val="12"/>
        </w:numPr>
        <w:spacing w:after="0" w:line="240" w:lineRule="auto"/>
        <w:textAlignment w:val="baseline"/>
        <w:rPr>
          <w:rFonts w:eastAsiaTheme="minorEastAsia"/>
          <w:color w:val="000000" w:themeColor="text1"/>
          <w:spacing w:val="4"/>
        </w:rPr>
      </w:pPr>
      <w:r w:rsidRPr="007C47B2">
        <w:rPr>
          <w:rFonts w:eastAsiaTheme="minorEastAsia"/>
          <w:i/>
          <w:iCs/>
          <w:color w:val="000000" w:themeColor="text1"/>
          <w:spacing w:val="4"/>
          <w:u w:val="single"/>
        </w:rPr>
        <w:t>Burden of disease</w:t>
      </w:r>
      <w:r w:rsidRPr="1A84C4E1">
        <w:rPr>
          <w:rFonts w:eastAsiaTheme="minorEastAsia"/>
          <w:i/>
          <w:iCs/>
          <w:color w:val="000000" w:themeColor="text1"/>
          <w:spacing w:val="4"/>
        </w:rPr>
        <w:t xml:space="preserve">: </w:t>
      </w:r>
      <w:r w:rsidRPr="1A84C4E1">
        <w:rPr>
          <w:rFonts w:eastAsiaTheme="minorEastAsia"/>
          <w:color w:val="000000" w:themeColor="text1"/>
          <w:spacing w:val="4"/>
        </w:rPr>
        <w:t xml:space="preserve"> </w:t>
      </w:r>
      <w:r w:rsidR="00A819C7" w:rsidRPr="1A84C4E1">
        <w:rPr>
          <w:rFonts w:eastAsiaTheme="minorEastAsia"/>
          <w:color w:val="000000" w:themeColor="text1"/>
          <w:spacing w:val="4"/>
        </w:rPr>
        <w:t xml:space="preserve">Ask your learners why we should focus on osteoporosis in clinical practice.  </w:t>
      </w:r>
      <w:r w:rsidR="1A84C4E1" w:rsidRPr="007C682A">
        <w:rPr>
          <w:rFonts w:eastAsiaTheme="minorEastAsia"/>
          <w:i/>
          <w:iCs/>
          <w:color w:val="000000" w:themeColor="text1"/>
        </w:rPr>
        <w:t>Click on each of the questions to reveal the answers</w:t>
      </w:r>
      <w:r w:rsidR="1A84C4E1" w:rsidRPr="1A84C4E1">
        <w:rPr>
          <w:rFonts w:eastAsiaTheme="minorEastAsia"/>
          <w:i/>
          <w:iCs/>
          <w:color w:val="000000" w:themeColor="text1"/>
        </w:rPr>
        <w:t xml:space="preserve"> on clinical impact</w:t>
      </w:r>
      <w:r w:rsidR="1A84C4E1" w:rsidRPr="007C682A">
        <w:rPr>
          <w:rFonts w:eastAsiaTheme="minorEastAsia"/>
          <w:i/>
          <w:iCs/>
          <w:color w:val="000000" w:themeColor="text1"/>
        </w:rPr>
        <w:t xml:space="preserve">. </w:t>
      </w:r>
      <w:r w:rsidR="004F6B09" w:rsidRPr="1A84C4E1">
        <w:rPr>
          <w:rFonts w:eastAsiaTheme="minorEastAsia"/>
          <w:color w:val="000000" w:themeColor="text1"/>
          <w:spacing w:val="4"/>
        </w:rPr>
        <w:t xml:space="preserve">Emphasize that osteoporosis is COMMON (20% of women over 50), carries a high mortality rate (25% at 1 year), and morbidity (only 50% </w:t>
      </w:r>
      <w:proofErr w:type="gramStart"/>
      <w:r w:rsidR="004F6B09" w:rsidRPr="1A84C4E1">
        <w:rPr>
          <w:rFonts w:eastAsiaTheme="minorEastAsia"/>
          <w:color w:val="000000" w:themeColor="text1"/>
          <w:spacing w:val="4"/>
        </w:rPr>
        <w:t>are able to</w:t>
      </w:r>
      <w:proofErr w:type="gramEnd"/>
      <w:r w:rsidR="004F6B09" w:rsidRPr="1A84C4E1">
        <w:rPr>
          <w:rFonts w:eastAsiaTheme="minorEastAsia"/>
          <w:color w:val="000000" w:themeColor="text1"/>
          <w:spacing w:val="4"/>
        </w:rPr>
        <w:t xml:space="preserve"> live independently after a hip fracture)</w:t>
      </w:r>
      <w:r w:rsidR="00DE78D1" w:rsidRPr="1A84C4E1">
        <w:rPr>
          <w:rFonts w:eastAsiaTheme="minorEastAsia"/>
          <w:color w:val="000000" w:themeColor="text1"/>
          <w:spacing w:val="4"/>
        </w:rPr>
        <w:t xml:space="preserve">, and treatment </w:t>
      </w:r>
      <w:r w:rsidR="000B22F1" w:rsidRPr="1A84C4E1">
        <w:rPr>
          <w:rFonts w:eastAsiaTheme="minorEastAsia"/>
          <w:color w:val="000000" w:themeColor="text1"/>
          <w:spacing w:val="4"/>
        </w:rPr>
        <w:t>improves</w:t>
      </w:r>
      <w:r w:rsidR="00DE78D1" w:rsidRPr="1A84C4E1">
        <w:rPr>
          <w:rFonts w:eastAsiaTheme="minorEastAsia"/>
          <w:color w:val="000000" w:themeColor="text1"/>
          <w:spacing w:val="4"/>
        </w:rPr>
        <w:t xml:space="preserve"> not only bone mineral density (BMD) but also fracture risk. </w:t>
      </w:r>
    </w:p>
    <w:p w14:paraId="7FF248F8" w14:textId="1A13CF11" w:rsidR="00B26DBE" w:rsidRDefault="00B26DBE" w:rsidP="1A84C4E1">
      <w:pPr>
        <w:numPr>
          <w:ilvl w:val="0"/>
          <w:numId w:val="12"/>
        </w:numPr>
        <w:spacing w:after="0" w:line="240" w:lineRule="auto"/>
        <w:textAlignment w:val="baseline"/>
        <w:rPr>
          <w:rFonts w:eastAsiaTheme="minorEastAsia"/>
          <w:color w:val="000000" w:themeColor="text1"/>
          <w:spacing w:val="4"/>
        </w:rPr>
      </w:pPr>
      <w:r w:rsidRPr="007C47B2">
        <w:rPr>
          <w:rFonts w:eastAsiaTheme="minorEastAsia"/>
          <w:i/>
          <w:iCs/>
          <w:color w:val="000000" w:themeColor="text1"/>
          <w:spacing w:val="4"/>
          <w:u w:val="single"/>
        </w:rPr>
        <w:t>Screening</w:t>
      </w:r>
      <w:r w:rsidRPr="1A84C4E1">
        <w:rPr>
          <w:rFonts w:eastAsiaTheme="minorEastAsia"/>
          <w:i/>
          <w:iCs/>
          <w:color w:val="000000" w:themeColor="text1"/>
          <w:spacing w:val="4"/>
        </w:rPr>
        <w:t xml:space="preserve">: </w:t>
      </w:r>
      <w:r w:rsidR="1A84C4E1" w:rsidRPr="1A84C4E1">
        <w:rPr>
          <w:rFonts w:eastAsiaTheme="minorEastAsia"/>
          <w:color w:val="000000" w:themeColor="text1"/>
        </w:rPr>
        <w:t>Typical diseases we SCREEN for should be common, have an asymptomatic stage, use a cheap and reliable test, and ideally is something that we have effective treatment for. Ask your learners who should be screened before revealing the answers.</w:t>
      </w:r>
      <w:r w:rsidRPr="1A84C4E1">
        <w:rPr>
          <w:rFonts w:eastAsiaTheme="minorEastAsia"/>
          <w:color w:val="000000" w:themeColor="text1"/>
          <w:spacing w:val="4"/>
        </w:rPr>
        <w:t xml:space="preserve"> Women &gt; 65, postmenopausal women with at least 1 risk factor and men with major risk factors should be screened for </w:t>
      </w:r>
      <w:r w:rsidR="007C47B2" w:rsidRPr="1A84C4E1">
        <w:rPr>
          <w:rFonts w:eastAsiaTheme="minorEastAsia"/>
          <w:color w:val="000000" w:themeColor="text1"/>
          <w:spacing w:val="4"/>
        </w:rPr>
        <w:t>osteoporosis</w:t>
      </w:r>
      <w:r w:rsidRPr="1A84C4E1">
        <w:rPr>
          <w:rFonts w:eastAsiaTheme="minorEastAsia"/>
          <w:color w:val="000000" w:themeColor="text1"/>
          <w:spacing w:val="4"/>
        </w:rPr>
        <w:t xml:space="preserve">. </w:t>
      </w:r>
      <w:r w:rsidR="1A84C4E1" w:rsidRPr="1A84C4E1">
        <w:rPr>
          <w:rFonts w:eastAsiaTheme="minorEastAsia"/>
          <w:color w:val="000000" w:themeColor="text1"/>
        </w:rPr>
        <w:t xml:space="preserve"> </w:t>
      </w:r>
    </w:p>
    <w:p w14:paraId="439B7AEF" w14:textId="47524D70" w:rsidR="00B26DBE" w:rsidRPr="007C47B2" w:rsidRDefault="1A84C4E1" w:rsidP="007C47B2">
      <w:pPr>
        <w:numPr>
          <w:ilvl w:val="1"/>
          <w:numId w:val="12"/>
        </w:numPr>
        <w:spacing w:after="0" w:line="240" w:lineRule="auto"/>
        <w:textAlignment w:val="baseline"/>
        <w:rPr>
          <w:color w:val="000000" w:themeColor="text1"/>
          <w:spacing w:val="4"/>
        </w:rPr>
      </w:pPr>
      <w:r w:rsidRPr="1A84C4E1">
        <w:rPr>
          <w:rFonts w:eastAsiaTheme="minorEastAsia"/>
          <w:color w:val="000000" w:themeColor="text1"/>
        </w:rPr>
        <w:t xml:space="preserve">Ask your learners to identify broad categories of risk factors. These can be broken down </w:t>
      </w:r>
      <w:proofErr w:type="gramStart"/>
      <w:r w:rsidRPr="1A84C4E1">
        <w:rPr>
          <w:rFonts w:eastAsiaTheme="minorEastAsia"/>
          <w:color w:val="000000" w:themeColor="text1"/>
        </w:rPr>
        <w:t>into:</w:t>
      </w:r>
      <w:proofErr w:type="gramEnd"/>
      <w:r w:rsidRPr="1A84C4E1">
        <w:rPr>
          <w:rFonts w:eastAsiaTheme="minorEastAsia"/>
          <w:color w:val="000000" w:themeColor="text1"/>
        </w:rPr>
        <w:t xml:space="preserve"> substances, medications, endocrinopathies, chronic diseases/malignancies, and other. Ask your learners to name a few causes in each category before clicking to reveal the answer. </w:t>
      </w:r>
    </w:p>
    <w:p w14:paraId="3B71AB1D" w14:textId="77777777" w:rsidR="007C47B2" w:rsidRDefault="007C47B2" w:rsidP="007C47B2">
      <w:pPr>
        <w:spacing w:after="0" w:line="240" w:lineRule="auto"/>
        <w:textAlignment w:val="baseline"/>
        <w:rPr>
          <w:color w:val="000000" w:themeColor="text1"/>
          <w:spacing w:val="4"/>
        </w:rPr>
      </w:pPr>
    </w:p>
    <w:p w14:paraId="6C203B14" w14:textId="232F3F2B" w:rsidR="000F4CF4" w:rsidRPr="000F4CF4" w:rsidRDefault="000F4CF4" w:rsidP="1A84C4E1">
      <w:pPr>
        <w:shd w:val="clear" w:color="auto" w:fill="FEFEFE"/>
        <w:spacing w:after="0" w:line="240" w:lineRule="auto"/>
        <w:rPr>
          <w:rFonts w:eastAsiaTheme="minorEastAsia"/>
          <w:b/>
          <w:bCs/>
          <w:color w:val="000000" w:themeColor="text1"/>
          <w:spacing w:val="4"/>
        </w:rPr>
      </w:pPr>
      <w:r w:rsidRPr="1A84C4E1">
        <w:rPr>
          <w:rFonts w:eastAsiaTheme="minorEastAsia"/>
          <w:b/>
          <w:bCs/>
          <w:color w:val="000000" w:themeColor="text1"/>
          <w:spacing w:val="4"/>
        </w:rPr>
        <w:t xml:space="preserve">Objective 2: Diagnose osteoporosis based on 3 defined criteria </w:t>
      </w:r>
    </w:p>
    <w:p w14:paraId="27C95E21" w14:textId="77777777" w:rsidR="007C47B2" w:rsidRDefault="004A004D" w:rsidP="1A84C4E1">
      <w:pPr>
        <w:numPr>
          <w:ilvl w:val="0"/>
          <w:numId w:val="12"/>
        </w:numPr>
        <w:shd w:val="clear" w:color="auto" w:fill="FEFEFE"/>
        <w:spacing w:after="0" w:line="240" w:lineRule="auto"/>
        <w:textAlignment w:val="baseline"/>
        <w:rPr>
          <w:rFonts w:eastAsiaTheme="minorEastAsia"/>
          <w:color w:val="000000" w:themeColor="text1"/>
          <w:spacing w:val="4"/>
        </w:rPr>
      </w:pPr>
      <w:r w:rsidRPr="1A84C4E1">
        <w:rPr>
          <w:rFonts w:eastAsiaTheme="minorEastAsia"/>
          <w:i/>
          <w:iCs/>
          <w:color w:val="000000" w:themeColor="text1"/>
          <w:spacing w:val="4"/>
        </w:rPr>
        <w:t>Diagnosis:</w:t>
      </w:r>
      <w:r w:rsidRPr="1A84C4E1">
        <w:rPr>
          <w:rFonts w:eastAsiaTheme="minorEastAsia"/>
          <w:color w:val="000000" w:themeColor="text1"/>
          <w:spacing w:val="4"/>
        </w:rPr>
        <w:t xml:space="preserve"> </w:t>
      </w:r>
      <w:r w:rsidR="004F6B09" w:rsidRPr="1A84C4E1">
        <w:rPr>
          <w:rFonts w:eastAsiaTheme="minorEastAsia"/>
          <w:color w:val="000000" w:themeColor="text1"/>
          <w:spacing w:val="4"/>
        </w:rPr>
        <w:t>BEFORE clicking</w:t>
      </w:r>
      <w:r w:rsidRPr="1A84C4E1">
        <w:rPr>
          <w:rFonts w:eastAsiaTheme="minorEastAsia"/>
          <w:color w:val="000000" w:themeColor="text1"/>
          <w:spacing w:val="4"/>
        </w:rPr>
        <w:t xml:space="preserve"> “</w:t>
      </w:r>
      <w:r w:rsidR="004F6B09" w:rsidRPr="1A84C4E1">
        <w:rPr>
          <w:rFonts w:eastAsiaTheme="minorEastAsia"/>
          <w:color w:val="000000" w:themeColor="text1"/>
          <w:spacing w:val="4"/>
        </w:rPr>
        <w:t>Diagnostic criteria” a</w:t>
      </w:r>
      <w:r w:rsidRPr="1A84C4E1">
        <w:rPr>
          <w:rFonts w:eastAsiaTheme="minorEastAsia"/>
          <w:color w:val="000000" w:themeColor="text1"/>
          <w:spacing w:val="4"/>
        </w:rPr>
        <w:t xml:space="preserve">sk your </w:t>
      </w:r>
      <w:r w:rsidR="007C47B2" w:rsidRPr="1A84C4E1">
        <w:rPr>
          <w:rFonts w:eastAsiaTheme="minorEastAsia"/>
          <w:color w:val="000000" w:themeColor="text1"/>
          <w:spacing w:val="4"/>
        </w:rPr>
        <w:t>learners if</w:t>
      </w:r>
      <w:r w:rsidRPr="1A84C4E1">
        <w:rPr>
          <w:rFonts w:eastAsiaTheme="minorEastAsia"/>
          <w:color w:val="000000" w:themeColor="text1"/>
          <w:spacing w:val="4"/>
        </w:rPr>
        <w:t xml:space="preserve"> they know any of the diagnostic criteria</w:t>
      </w:r>
      <w:r w:rsidR="004F6B09" w:rsidRPr="1A84C4E1">
        <w:rPr>
          <w:rFonts w:eastAsiaTheme="minorEastAsia"/>
          <w:color w:val="000000" w:themeColor="text1"/>
          <w:spacing w:val="4"/>
        </w:rPr>
        <w:t xml:space="preserve"> for osteoporosis</w:t>
      </w:r>
      <w:r w:rsidRPr="1A84C4E1">
        <w:rPr>
          <w:rFonts w:eastAsiaTheme="minorEastAsia"/>
          <w:color w:val="000000" w:themeColor="text1"/>
          <w:spacing w:val="4"/>
        </w:rPr>
        <w:t xml:space="preserve">. Osteoporosis can be diagnosed in 3 ways: </w:t>
      </w:r>
    </w:p>
    <w:p w14:paraId="656D827A" w14:textId="17A8C43B" w:rsidR="007C47B2" w:rsidRPr="007C47B2" w:rsidRDefault="004A004D" w:rsidP="007C47B2">
      <w:pPr>
        <w:pStyle w:val="ListParagraph"/>
        <w:numPr>
          <w:ilvl w:val="1"/>
          <w:numId w:val="22"/>
        </w:numPr>
        <w:shd w:val="clear" w:color="auto" w:fill="FEFEFE"/>
        <w:spacing w:after="0" w:line="240" w:lineRule="auto"/>
        <w:textAlignment w:val="baseline"/>
        <w:rPr>
          <w:rFonts w:eastAsiaTheme="minorEastAsia"/>
          <w:color w:val="000000" w:themeColor="text1"/>
          <w:spacing w:val="4"/>
        </w:rPr>
      </w:pPr>
      <w:r w:rsidRPr="007C47B2">
        <w:rPr>
          <w:rFonts w:eastAsiaTheme="minorEastAsia"/>
          <w:color w:val="000000" w:themeColor="text1"/>
          <w:spacing w:val="4"/>
        </w:rPr>
        <w:t xml:space="preserve">T-score &lt; -2.5 on a DXA scan </w:t>
      </w:r>
    </w:p>
    <w:p w14:paraId="12F7662D" w14:textId="4E3ECDCC" w:rsidR="007C47B2" w:rsidRPr="007C47B2" w:rsidRDefault="004A004D" w:rsidP="007C47B2">
      <w:pPr>
        <w:pStyle w:val="ListParagraph"/>
        <w:numPr>
          <w:ilvl w:val="1"/>
          <w:numId w:val="22"/>
        </w:numPr>
        <w:shd w:val="clear" w:color="auto" w:fill="FEFEFE"/>
        <w:spacing w:after="0" w:line="240" w:lineRule="auto"/>
        <w:textAlignment w:val="baseline"/>
        <w:rPr>
          <w:rFonts w:eastAsiaTheme="minorEastAsia"/>
          <w:color w:val="000000" w:themeColor="text1"/>
          <w:spacing w:val="4"/>
        </w:rPr>
      </w:pPr>
      <w:r w:rsidRPr="007C47B2">
        <w:rPr>
          <w:rFonts w:eastAsiaTheme="minorEastAsia"/>
          <w:color w:val="000000" w:themeColor="text1"/>
          <w:spacing w:val="4"/>
        </w:rPr>
        <w:t xml:space="preserve">presence of a fragility fracture </w:t>
      </w:r>
      <w:r w:rsidR="007C47B2" w:rsidRPr="007C47B2">
        <w:rPr>
          <w:rFonts w:eastAsiaTheme="minorEastAsia"/>
          <w:color w:val="000000" w:themeColor="text1"/>
          <w:spacing w:val="4"/>
        </w:rPr>
        <w:t>OR</w:t>
      </w:r>
    </w:p>
    <w:p w14:paraId="30E34F98" w14:textId="77777777" w:rsidR="007C47B2" w:rsidRDefault="007C47B2" w:rsidP="007C47B2">
      <w:pPr>
        <w:pStyle w:val="ListParagraph"/>
        <w:numPr>
          <w:ilvl w:val="1"/>
          <w:numId w:val="22"/>
        </w:numPr>
        <w:shd w:val="clear" w:color="auto" w:fill="FEFEFE"/>
        <w:spacing w:after="0" w:line="240" w:lineRule="auto"/>
        <w:textAlignment w:val="baseline"/>
        <w:rPr>
          <w:rFonts w:eastAsiaTheme="minorEastAsia"/>
          <w:color w:val="000000" w:themeColor="text1"/>
          <w:spacing w:val="4"/>
        </w:rPr>
      </w:pPr>
      <w:r>
        <w:rPr>
          <w:rFonts w:eastAsiaTheme="minorEastAsia"/>
          <w:color w:val="000000" w:themeColor="text1"/>
          <w:spacing w:val="4"/>
        </w:rPr>
        <w:t>H</w:t>
      </w:r>
      <w:r w:rsidR="004A004D" w:rsidRPr="007C47B2">
        <w:rPr>
          <w:rFonts w:eastAsiaTheme="minorEastAsia"/>
          <w:color w:val="000000" w:themeColor="text1"/>
          <w:spacing w:val="4"/>
        </w:rPr>
        <w:t xml:space="preserve">igh risk for fracture based on FRAX score (&gt;20% risk of any fracture or &gt;3% risk of hip fracture over 10 years. </w:t>
      </w:r>
    </w:p>
    <w:p w14:paraId="605AB30E" w14:textId="547F8333" w:rsidR="00DE78D1" w:rsidRPr="007C47B2" w:rsidRDefault="004A004D" w:rsidP="007C47B2">
      <w:pPr>
        <w:shd w:val="clear" w:color="auto" w:fill="FEFEFE"/>
        <w:spacing w:after="0" w:line="240" w:lineRule="auto"/>
        <w:ind w:left="1080"/>
        <w:textAlignment w:val="baseline"/>
        <w:rPr>
          <w:rFonts w:eastAsiaTheme="minorEastAsia"/>
          <w:color w:val="000000" w:themeColor="text1"/>
          <w:spacing w:val="4"/>
        </w:rPr>
      </w:pPr>
      <w:r w:rsidRPr="007C47B2">
        <w:rPr>
          <w:rFonts w:eastAsiaTheme="minorEastAsia"/>
          <w:i/>
          <w:iCs/>
          <w:color w:val="000000" w:themeColor="text1"/>
          <w:spacing w:val="4"/>
        </w:rPr>
        <w:lastRenderedPageBreak/>
        <w:t xml:space="preserve">Click on each of the criteria for additional information. </w:t>
      </w:r>
      <w:r w:rsidRPr="007C47B2">
        <w:rPr>
          <w:rFonts w:eastAsiaTheme="minorEastAsia"/>
          <w:color w:val="000000" w:themeColor="text1"/>
          <w:spacing w:val="4"/>
        </w:rPr>
        <w:t xml:space="preserve">A fragility fracture is a fracture that occurs with minor trauma (e.g., GLF) and typically occurs at the ribs, vertebra, hip, wrist, or pelvis. </w:t>
      </w:r>
    </w:p>
    <w:p w14:paraId="54DBC8C1" w14:textId="3AD91C43" w:rsidR="00DE78D1" w:rsidRDefault="000E2908" w:rsidP="1A84C4E1">
      <w:pPr>
        <w:numPr>
          <w:ilvl w:val="1"/>
          <w:numId w:val="12"/>
        </w:numPr>
        <w:shd w:val="clear" w:color="auto" w:fill="FEFEFE"/>
        <w:spacing w:after="0" w:line="240" w:lineRule="auto"/>
        <w:textAlignment w:val="baseline"/>
        <w:rPr>
          <w:rFonts w:eastAsiaTheme="minorEastAsia"/>
          <w:color w:val="000000" w:themeColor="text1"/>
          <w:spacing w:val="4"/>
        </w:rPr>
      </w:pPr>
      <w:r w:rsidRPr="1A84C4E1">
        <w:rPr>
          <w:rFonts w:eastAsiaTheme="minorEastAsia"/>
          <w:color w:val="000000" w:themeColor="text1"/>
          <w:spacing w:val="4"/>
        </w:rPr>
        <w:t>Bonus: Emphasize that</w:t>
      </w:r>
      <w:r w:rsidRPr="1A84C4E1">
        <w:rPr>
          <w:rFonts w:eastAsiaTheme="minorEastAsia"/>
          <w:b/>
          <w:bCs/>
          <w:color w:val="000000" w:themeColor="text1"/>
          <w:spacing w:val="4"/>
        </w:rPr>
        <w:t xml:space="preserve"> most </w:t>
      </w:r>
      <w:r w:rsidRPr="1A84C4E1">
        <w:rPr>
          <w:rFonts w:eastAsiaTheme="minorEastAsia"/>
          <w:color w:val="000000" w:themeColor="text1"/>
          <w:spacing w:val="4"/>
        </w:rPr>
        <w:t xml:space="preserve">fractures occur in patients with T-scores better than -2.5, so treatment strategies relying solely on BMD testing will miss many patients at risk for fracture based on clinical risk factors (e.g., using hx of fracture or their FRAX score). </w:t>
      </w:r>
      <w:r w:rsidR="007E7684" w:rsidRPr="1A84C4E1">
        <w:rPr>
          <w:rFonts w:eastAsiaTheme="minorEastAsia"/>
          <w:color w:val="000000" w:themeColor="text1"/>
          <w:spacing w:val="4"/>
        </w:rPr>
        <w:t xml:space="preserve">Vertebral fractures are the most common clinical manifestation of osteoporosis. Two-thirds of patients with a vertebral fracture are asymptomatic or are discovered as an incidental finding.  </w:t>
      </w:r>
    </w:p>
    <w:p w14:paraId="4629ABA0" w14:textId="1CE1EB59" w:rsidR="004F6F8E" w:rsidRPr="000F4CF4" w:rsidRDefault="007E7684" w:rsidP="1A84C4E1">
      <w:pPr>
        <w:numPr>
          <w:ilvl w:val="1"/>
          <w:numId w:val="12"/>
        </w:numPr>
        <w:spacing w:after="0" w:line="240" w:lineRule="auto"/>
        <w:textAlignment w:val="baseline"/>
        <w:rPr>
          <w:rFonts w:eastAsiaTheme="minorEastAsia"/>
          <w:color w:val="000000" w:themeColor="text1"/>
          <w:spacing w:val="4"/>
        </w:rPr>
      </w:pPr>
      <w:r w:rsidRPr="1A84C4E1">
        <w:rPr>
          <w:rFonts w:eastAsiaTheme="minorEastAsia"/>
          <w:color w:val="000000" w:themeColor="text1"/>
          <w:spacing w:val="4"/>
        </w:rPr>
        <w:t xml:space="preserve">Bonus: Fragility fracture increases the risk of subsequent fracture. In patients with a </w:t>
      </w:r>
      <w:r w:rsidR="007C682A" w:rsidRPr="1A84C4E1">
        <w:rPr>
          <w:rFonts w:eastAsiaTheme="minorEastAsia"/>
          <w:color w:val="000000" w:themeColor="text1"/>
          <w:spacing w:val="4"/>
        </w:rPr>
        <w:t>fragility</w:t>
      </w:r>
      <w:r w:rsidRPr="1A84C4E1">
        <w:rPr>
          <w:rFonts w:eastAsiaTheme="minorEastAsia"/>
          <w:color w:val="000000" w:themeColor="text1"/>
          <w:spacing w:val="4"/>
        </w:rPr>
        <w:t xml:space="preserve"> fracture, you do not need to wait for DXA to initiate treatment (can initiate 2 weeks post-fracture).</w:t>
      </w:r>
      <w:r w:rsidR="004F6F8E" w:rsidRPr="000F4CF4">
        <w:rPr>
          <w:rFonts w:eastAsia="Times New Roman" w:cstheme="minorHAnsi"/>
          <w:color w:val="000000" w:themeColor="text1"/>
          <w:spacing w:val="4"/>
        </w:rPr>
        <w:br/>
      </w:r>
    </w:p>
    <w:p w14:paraId="085D4FAC" w14:textId="77777777" w:rsidR="00F10DC5" w:rsidRPr="00EC5ADF" w:rsidRDefault="004F6F8E" w:rsidP="1A84C4E1">
      <w:pPr>
        <w:shd w:val="clear" w:color="auto" w:fill="FEFEFE"/>
        <w:spacing w:after="0" w:line="240" w:lineRule="auto"/>
        <w:rPr>
          <w:rFonts w:eastAsiaTheme="minorEastAsia"/>
          <w:color w:val="000000" w:themeColor="text1"/>
          <w:spacing w:val="4"/>
        </w:rPr>
      </w:pPr>
      <w:r w:rsidRPr="1A84C4E1">
        <w:rPr>
          <w:rFonts w:eastAsiaTheme="minorEastAsia"/>
          <w:b/>
          <w:bCs/>
          <w:color w:val="000000" w:themeColor="text1"/>
          <w:spacing w:val="4"/>
        </w:rPr>
        <w:t>Objective 3:</w:t>
      </w:r>
      <w:r w:rsidRPr="007C682A">
        <w:rPr>
          <w:rFonts w:eastAsiaTheme="minorEastAsia"/>
          <w:b/>
          <w:bCs/>
          <w:color w:val="000000" w:themeColor="text1"/>
          <w:spacing w:val="4"/>
        </w:rPr>
        <w:t> </w:t>
      </w:r>
      <w:r w:rsidR="00F10DC5" w:rsidRPr="007C682A">
        <w:rPr>
          <w:rFonts w:eastAsiaTheme="minorEastAsia"/>
          <w:b/>
          <w:bCs/>
          <w:color w:val="000000" w:themeColor="text1"/>
          <w:spacing w:val="4"/>
        </w:rPr>
        <w:t>Analyze and apply appropriate treatment options for osteoporosis</w:t>
      </w:r>
    </w:p>
    <w:p w14:paraId="2B2C46E8" w14:textId="1F0566E1" w:rsidR="00485C08" w:rsidRDefault="004F6B09" w:rsidP="007C47B2">
      <w:pPr>
        <w:spacing w:after="0" w:line="240" w:lineRule="auto"/>
        <w:textAlignment w:val="baseline"/>
        <w:rPr>
          <w:rFonts w:eastAsiaTheme="minorEastAsia"/>
          <w:color w:val="000000" w:themeColor="text1"/>
          <w:spacing w:val="4"/>
        </w:rPr>
      </w:pPr>
      <w:r w:rsidRPr="007C682A">
        <w:rPr>
          <w:rFonts w:eastAsiaTheme="minorEastAsia"/>
          <w:i/>
          <w:iCs/>
          <w:color w:val="000000" w:themeColor="text1"/>
          <w:spacing w:val="4"/>
        </w:rPr>
        <w:t>Treatment</w:t>
      </w:r>
      <w:r w:rsidRPr="1A84C4E1">
        <w:rPr>
          <w:rFonts w:eastAsiaTheme="minorEastAsia"/>
          <w:i/>
          <w:iCs/>
          <w:color w:val="000000" w:themeColor="text1"/>
          <w:spacing w:val="4"/>
        </w:rPr>
        <w:t>:</w:t>
      </w:r>
      <w:r w:rsidR="00485C08" w:rsidRPr="1A84C4E1">
        <w:rPr>
          <w:rFonts w:eastAsiaTheme="minorEastAsia"/>
          <w:color w:val="000000" w:themeColor="text1"/>
          <w:spacing w:val="4"/>
        </w:rPr>
        <w:t xml:space="preserve"> A</w:t>
      </w:r>
      <w:r w:rsidRPr="1A84C4E1">
        <w:rPr>
          <w:rFonts w:eastAsiaTheme="minorEastAsia"/>
          <w:color w:val="000000" w:themeColor="text1"/>
          <w:spacing w:val="4"/>
        </w:rPr>
        <w:t>sk what interventions (primary interventions) we should consider in everyone before starting targeted therapies such as bisphosphonates</w:t>
      </w:r>
      <w:r w:rsidR="00485C08" w:rsidRPr="1A84C4E1">
        <w:rPr>
          <w:rFonts w:eastAsiaTheme="minorEastAsia"/>
          <w:color w:val="000000" w:themeColor="text1"/>
          <w:spacing w:val="4"/>
        </w:rPr>
        <w:t xml:space="preserve">. </w:t>
      </w:r>
    </w:p>
    <w:p w14:paraId="25C6AB14" w14:textId="09AD8CA4" w:rsidR="00485C08" w:rsidRDefault="00485C08" w:rsidP="007C47B2">
      <w:pPr>
        <w:numPr>
          <w:ilvl w:val="0"/>
          <w:numId w:val="15"/>
        </w:numPr>
        <w:spacing w:after="0" w:line="240" w:lineRule="auto"/>
        <w:textAlignment w:val="baseline"/>
        <w:rPr>
          <w:rFonts w:eastAsiaTheme="minorEastAsia"/>
          <w:color w:val="000000" w:themeColor="text1"/>
          <w:spacing w:val="4"/>
        </w:rPr>
      </w:pPr>
      <w:r w:rsidRPr="007C47B2">
        <w:rPr>
          <w:rFonts w:eastAsiaTheme="minorEastAsia"/>
          <w:i/>
          <w:iCs/>
          <w:color w:val="000000" w:themeColor="text1"/>
          <w:spacing w:val="4"/>
          <w:u w:val="single"/>
        </w:rPr>
        <w:t>Primary therapies</w:t>
      </w:r>
      <w:r w:rsidRPr="1A84C4E1">
        <w:rPr>
          <w:rFonts w:eastAsiaTheme="minorEastAsia"/>
          <w:i/>
          <w:iCs/>
          <w:color w:val="000000" w:themeColor="text1"/>
          <w:spacing w:val="4"/>
        </w:rPr>
        <w:t xml:space="preserve">: </w:t>
      </w:r>
      <w:r w:rsidRPr="007C682A">
        <w:rPr>
          <w:rFonts w:eastAsiaTheme="minorEastAsia"/>
          <w:color w:val="000000" w:themeColor="text1"/>
          <w:spacing w:val="4"/>
        </w:rPr>
        <w:t>All patients should be counseled on</w:t>
      </w:r>
      <w:r w:rsidRPr="1A84C4E1">
        <w:rPr>
          <w:rFonts w:eastAsiaTheme="minorEastAsia"/>
          <w:color w:val="000000" w:themeColor="text1"/>
          <w:spacing w:val="4"/>
        </w:rPr>
        <w:t xml:space="preserve"> </w:t>
      </w:r>
      <w:r w:rsidRPr="007C682A">
        <w:rPr>
          <w:rFonts w:eastAsiaTheme="minorEastAsia"/>
          <w:color w:val="000000" w:themeColor="text1"/>
          <w:spacing w:val="4"/>
        </w:rPr>
        <w:t xml:space="preserve">smoking cessation and weight bearing exercises. </w:t>
      </w:r>
      <w:r w:rsidRPr="1A84C4E1">
        <w:rPr>
          <w:rFonts w:eastAsiaTheme="minorEastAsia"/>
          <w:color w:val="000000" w:themeColor="text1"/>
          <w:spacing w:val="4"/>
        </w:rPr>
        <w:t>Vitamin D and calcium supplementation should be considered for most patients. There are some exceptions for patients who should not receive calcium supplementations such as those with or at risk for hypercalcemia (</w:t>
      </w:r>
      <w:proofErr w:type="spellStart"/>
      <w:r w:rsidRPr="1A84C4E1">
        <w:rPr>
          <w:rFonts w:eastAsiaTheme="minorEastAsia"/>
          <w:color w:val="000000" w:themeColor="text1"/>
          <w:spacing w:val="4"/>
        </w:rPr>
        <w:t>e.g</w:t>
      </w:r>
      <w:proofErr w:type="spellEnd"/>
      <w:r w:rsidRPr="1A84C4E1">
        <w:rPr>
          <w:rFonts w:eastAsiaTheme="minorEastAsia"/>
          <w:color w:val="000000" w:themeColor="text1"/>
          <w:spacing w:val="4"/>
        </w:rPr>
        <w:t xml:space="preserve">, multiple myeloma). The best </w:t>
      </w:r>
      <w:r w:rsidR="1A84C4E1" w:rsidRPr="1A84C4E1">
        <w:rPr>
          <w:rFonts w:eastAsiaTheme="minorEastAsia"/>
          <w:color w:val="000000" w:themeColor="text1"/>
        </w:rPr>
        <w:t>weight-bearing exercise is brisk, higher impact activities (brisk walk, hiking, jogging, dancing, jumping rope, stairs, tennis/pickleball. NOT cycling, swimming, chair exercises).</w:t>
      </w:r>
    </w:p>
    <w:p w14:paraId="0B4AE7BD" w14:textId="073944F6" w:rsidR="00485C08" w:rsidRDefault="00485C08" w:rsidP="007C47B2">
      <w:pPr>
        <w:numPr>
          <w:ilvl w:val="1"/>
          <w:numId w:val="15"/>
        </w:numPr>
        <w:spacing w:after="0" w:line="240" w:lineRule="auto"/>
        <w:textAlignment w:val="baseline"/>
        <w:rPr>
          <w:rFonts w:eastAsiaTheme="minorEastAsia"/>
          <w:color w:val="000000" w:themeColor="text1"/>
          <w:spacing w:val="4"/>
        </w:rPr>
      </w:pPr>
      <w:r w:rsidRPr="1A84C4E1">
        <w:rPr>
          <w:rFonts w:eastAsiaTheme="minorEastAsia"/>
          <w:color w:val="000000" w:themeColor="text1"/>
          <w:spacing w:val="4"/>
        </w:rPr>
        <w:t xml:space="preserve">Bonus: Many patients with osteoporosis will have concurrent vitamin D deficiency. The goal vitamin D level is &gt;40 ng/mL for being on bisphosphonate </w:t>
      </w:r>
      <w:r w:rsidR="000E40F3" w:rsidRPr="1A84C4E1">
        <w:rPr>
          <w:rFonts w:eastAsiaTheme="minorEastAsia"/>
          <w:color w:val="000000" w:themeColor="text1"/>
          <w:spacing w:val="4"/>
        </w:rPr>
        <w:t xml:space="preserve">because Vit D deficiency will decrease efficacy of bisphosphonate therapy. </w:t>
      </w:r>
      <w:r w:rsidRPr="1A84C4E1">
        <w:rPr>
          <w:rFonts w:eastAsiaTheme="minorEastAsia"/>
          <w:color w:val="000000" w:themeColor="text1"/>
          <w:spacing w:val="4"/>
        </w:rPr>
        <w:t>Bisphosphonates can be started simultaneously with vitamin D supplements. Don’t postpone treatment to replete Vit D levels</w:t>
      </w:r>
      <w:r w:rsidR="007C47B2">
        <w:rPr>
          <w:rFonts w:eastAsiaTheme="minorEastAsia"/>
          <w:color w:val="000000" w:themeColor="text1"/>
          <w:spacing w:val="4"/>
        </w:rPr>
        <w:t>.</w:t>
      </w:r>
      <w:r w:rsidRPr="1A84C4E1">
        <w:rPr>
          <w:rFonts w:eastAsiaTheme="minorEastAsia"/>
          <w:color w:val="000000" w:themeColor="text1"/>
          <w:spacing w:val="4"/>
        </w:rPr>
        <w:t xml:space="preserve"> Highlight best</w:t>
      </w:r>
    </w:p>
    <w:p w14:paraId="0F7F493F" w14:textId="7A3FD8B0" w:rsidR="007C682A" w:rsidRDefault="004F6B09" w:rsidP="007C47B2">
      <w:pPr>
        <w:numPr>
          <w:ilvl w:val="1"/>
          <w:numId w:val="15"/>
        </w:numPr>
        <w:spacing w:after="0" w:line="240" w:lineRule="auto"/>
        <w:textAlignment w:val="baseline"/>
        <w:rPr>
          <w:color w:val="000000" w:themeColor="text1"/>
          <w:spacing w:val="4"/>
        </w:rPr>
      </w:pPr>
      <w:r w:rsidRPr="1A84C4E1">
        <w:rPr>
          <w:rFonts w:eastAsiaTheme="minorEastAsia"/>
          <w:color w:val="000000" w:themeColor="text1"/>
          <w:spacing w:val="4"/>
        </w:rPr>
        <w:t xml:space="preserve">Bonus: Calcium is best absorbed from dietary sources. Supplements are poorly absorbed. A rough method of estimating dietary calcium intake is to multiply the number of dairy servings consumed per day by 300 mg. </w:t>
      </w:r>
    </w:p>
    <w:p w14:paraId="02E8348E" w14:textId="692E5CB3" w:rsidR="00F70C4D" w:rsidRPr="007C682A" w:rsidRDefault="1A84C4E1" w:rsidP="007C47B2">
      <w:pPr>
        <w:numPr>
          <w:ilvl w:val="0"/>
          <w:numId w:val="15"/>
        </w:numPr>
        <w:spacing w:after="0" w:line="240" w:lineRule="auto"/>
        <w:textAlignment w:val="baseline"/>
        <w:rPr>
          <w:color w:val="000000" w:themeColor="text1"/>
          <w:spacing w:val="4"/>
        </w:rPr>
      </w:pPr>
      <w:r w:rsidRPr="007C47B2">
        <w:rPr>
          <w:rFonts w:eastAsiaTheme="minorEastAsia"/>
          <w:i/>
          <w:iCs/>
          <w:color w:val="000000" w:themeColor="text1"/>
          <w:u w:val="single"/>
        </w:rPr>
        <w:t>Targeted therapies</w:t>
      </w:r>
      <w:r w:rsidRPr="007C682A">
        <w:rPr>
          <w:rFonts w:eastAsiaTheme="minorEastAsia"/>
          <w:i/>
          <w:iCs/>
          <w:color w:val="000000" w:themeColor="text1"/>
        </w:rPr>
        <w:t xml:space="preserve">: </w:t>
      </w:r>
      <w:r w:rsidRPr="007C682A">
        <w:rPr>
          <w:rFonts w:eastAsiaTheme="minorEastAsia"/>
          <w:color w:val="000000" w:themeColor="text1"/>
        </w:rPr>
        <w:t xml:space="preserve">These therapies can be loosely broken into two categories – </w:t>
      </w:r>
      <w:proofErr w:type="spellStart"/>
      <w:r w:rsidRPr="007C682A">
        <w:rPr>
          <w:rFonts w:eastAsiaTheme="minorEastAsia"/>
          <w:color w:val="000000" w:themeColor="text1"/>
        </w:rPr>
        <w:t>antiresorptives</w:t>
      </w:r>
      <w:proofErr w:type="spellEnd"/>
      <w:r w:rsidRPr="007C682A">
        <w:rPr>
          <w:rFonts w:eastAsiaTheme="minorEastAsia"/>
          <w:color w:val="000000" w:themeColor="text1"/>
        </w:rPr>
        <w:t xml:space="preserve"> (bispho</w:t>
      </w:r>
      <w:r w:rsidR="007C682A">
        <w:rPr>
          <w:rFonts w:eastAsiaTheme="minorEastAsia"/>
          <w:color w:val="000000" w:themeColor="text1"/>
        </w:rPr>
        <w:t>spho</w:t>
      </w:r>
      <w:r w:rsidRPr="007C682A">
        <w:rPr>
          <w:rFonts w:eastAsiaTheme="minorEastAsia"/>
          <w:color w:val="000000" w:themeColor="text1"/>
        </w:rPr>
        <w:t xml:space="preserve">nates, denosumab) and </w:t>
      </w:r>
      <w:proofErr w:type="spellStart"/>
      <w:r w:rsidRPr="007C682A">
        <w:rPr>
          <w:rFonts w:eastAsiaTheme="minorEastAsia"/>
          <w:color w:val="000000" w:themeColor="text1"/>
        </w:rPr>
        <w:t>anabolics</w:t>
      </w:r>
      <w:proofErr w:type="spellEnd"/>
      <w:r w:rsidRPr="007C682A">
        <w:rPr>
          <w:rFonts w:eastAsiaTheme="minorEastAsia"/>
          <w:color w:val="000000" w:themeColor="text1"/>
        </w:rPr>
        <w:t xml:space="preserve">. Antiresorptive therapies (left of the schematic) block or kill osteoclasts to decrease bone </w:t>
      </w:r>
      <w:r w:rsidR="007C682A" w:rsidRPr="007C682A">
        <w:rPr>
          <w:rFonts w:eastAsiaTheme="minorEastAsia"/>
          <w:color w:val="000000" w:themeColor="text1"/>
        </w:rPr>
        <w:t>resorption</w:t>
      </w:r>
      <w:r w:rsidRPr="007C682A">
        <w:rPr>
          <w:rFonts w:eastAsiaTheme="minorEastAsia"/>
          <w:color w:val="000000" w:themeColor="text1"/>
        </w:rPr>
        <w:t xml:space="preserve">. Anabolics or “bone builders” stimulate osteoblasts to build bone. </w:t>
      </w:r>
      <w:r w:rsidRPr="007C682A">
        <w:rPr>
          <w:rFonts w:eastAsiaTheme="minorEastAsia"/>
          <w:i/>
          <w:iCs/>
          <w:color w:val="000000" w:themeColor="text1"/>
        </w:rPr>
        <w:t xml:space="preserve">Click on each of the following medications for additional information. Focus on bisphosphonates. </w:t>
      </w:r>
      <w:r w:rsidR="00F70C4D" w:rsidRPr="007C682A">
        <w:rPr>
          <w:rFonts w:eastAsiaTheme="minorEastAsia"/>
          <w:i/>
          <w:iCs/>
          <w:color w:val="000000" w:themeColor="text1"/>
          <w:spacing w:val="4"/>
        </w:rPr>
        <w:t xml:space="preserve"> Most internal medicine physicians =will involve endocrine before prescribing other agents. </w:t>
      </w:r>
    </w:p>
    <w:p w14:paraId="382AF098" w14:textId="32A73245" w:rsidR="00485C08" w:rsidRDefault="00485C08" w:rsidP="007C47B2">
      <w:pPr>
        <w:numPr>
          <w:ilvl w:val="1"/>
          <w:numId w:val="15"/>
        </w:numPr>
        <w:spacing w:after="0" w:line="240" w:lineRule="auto"/>
        <w:textAlignment w:val="baseline"/>
        <w:rPr>
          <w:rFonts w:eastAsiaTheme="minorEastAsia"/>
          <w:color w:val="000000" w:themeColor="text1"/>
          <w:spacing w:val="4"/>
        </w:rPr>
      </w:pPr>
      <w:r w:rsidRPr="1A84C4E1">
        <w:rPr>
          <w:rFonts w:eastAsiaTheme="minorEastAsia"/>
          <w:i/>
          <w:iCs/>
          <w:color w:val="000000" w:themeColor="text1"/>
          <w:spacing w:val="4"/>
          <w:u w:val="single"/>
        </w:rPr>
        <w:t>Bisphosphonates</w:t>
      </w:r>
      <w:r w:rsidRPr="1A84C4E1">
        <w:rPr>
          <w:rFonts w:eastAsiaTheme="minorEastAsia"/>
          <w:i/>
          <w:iCs/>
          <w:color w:val="000000" w:themeColor="text1"/>
          <w:spacing w:val="4"/>
        </w:rPr>
        <w:t>:</w:t>
      </w:r>
      <w:r w:rsidRPr="1A84C4E1">
        <w:rPr>
          <w:rFonts w:eastAsiaTheme="minorEastAsia"/>
          <w:color w:val="000000" w:themeColor="text1"/>
          <w:spacing w:val="4"/>
        </w:rPr>
        <w:t xml:space="preserve"> First line for most people with osteoporosis (unless </w:t>
      </w:r>
      <w:commentRangeStart w:id="0"/>
      <w:r w:rsidRPr="1A84C4E1">
        <w:rPr>
          <w:rFonts w:eastAsiaTheme="minorEastAsia"/>
          <w:color w:val="000000" w:themeColor="text1"/>
          <w:spacing w:val="4"/>
        </w:rPr>
        <w:t>GFR&lt;</w:t>
      </w:r>
      <w:r w:rsidR="00A35510">
        <w:rPr>
          <w:rFonts w:eastAsiaTheme="minorEastAsia"/>
          <w:color w:val="000000" w:themeColor="text1"/>
          <w:spacing w:val="4"/>
        </w:rPr>
        <w:t>3</w:t>
      </w:r>
      <w:r w:rsidRPr="1A84C4E1">
        <w:rPr>
          <w:rFonts w:eastAsiaTheme="minorEastAsia"/>
          <w:color w:val="000000" w:themeColor="text1"/>
          <w:spacing w:val="4"/>
        </w:rPr>
        <w:t xml:space="preserve">5 </w:t>
      </w:r>
      <w:commentRangeEnd w:id="0"/>
      <w:r w:rsidR="004F6B09">
        <w:commentReference w:id="0"/>
      </w:r>
      <w:r w:rsidRPr="1A84C4E1">
        <w:rPr>
          <w:rFonts w:eastAsiaTheme="minorEastAsia"/>
          <w:color w:val="000000" w:themeColor="text1"/>
          <w:spacing w:val="4"/>
        </w:rPr>
        <w:t>or can’t tolerate side effects</w:t>
      </w:r>
      <w:r w:rsidR="007E7684" w:rsidRPr="1A84C4E1">
        <w:rPr>
          <w:rFonts w:eastAsiaTheme="minorEastAsia"/>
          <w:color w:val="000000" w:themeColor="text1"/>
          <w:spacing w:val="4"/>
        </w:rPr>
        <w:t xml:space="preserve">). They are available in both oral and IV formulations. Side effects </w:t>
      </w:r>
      <w:commentRangeStart w:id="1"/>
      <w:r w:rsidR="007E7684" w:rsidRPr="1A84C4E1">
        <w:rPr>
          <w:rFonts w:eastAsiaTheme="minorEastAsia"/>
          <w:color w:val="000000" w:themeColor="text1"/>
          <w:spacing w:val="4"/>
        </w:rPr>
        <w:t>include</w:t>
      </w:r>
      <w:commentRangeEnd w:id="1"/>
      <w:r w:rsidR="004F6B09">
        <w:commentReference w:id="1"/>
      </w:r>
      <w:r w:rsidR="007E7684" w:rsidRPr="1A84C4E1">
        <w:rPr>
          <w:rFonts w:eastAsiaTheme="minorEastAsia"/>
          <w:color w:val="000000" w:themeColor="text1"/>
          <w:spacing w:val="4"/>
        </w:rPr>
        <w:t xml:space="preserve"> esophagitis, hypocalcemia, and very rarely osteonecrosis of the jaw and atypical femur fracture.</w:t>
      </w:r>
    </w:p>
    <w:p w14:paraId="020EEF39" w14:textId="5340427A" w:rsidR="00485C08" w:rsidRDefault="004F6B09" w:rsidP="007C47B2">
      <w:pPr>
        <w:numPr>
          <w:ilvl w:val="2"/>
          <w:numId w:val="15"/>
        </w:numPr>
        <w:spacing w:after="0" w:line="240" w:lineRule="auto"/>
        <w:textAlignment w:val="baseline"/>
        <w:rPr>
          <w:color w:val="000000" w:themeColor="text1"/>
          <w:spacing w:val="4"/>
        </w:rPr>
      </w:pPr>
      <w:r w:rsidRPr="1A84C4E1">
        <w:rPr>
          <w:rFonts w:eastAsiaTheme="minorEastAsia"/>
          <w:color w:val="000000" w:themeColor="text1"/>
          <w:spacing w:val="4"/>
        </w:rPr>
        <w:t xml:space="preserve">Ask: How should patients take </w:t>
      </w:r>
      <w:r w:rsidR="000B22F1" w:rsidRPr="1A84C4E1">
        <w:rPr>
          <w:rFonts w:eastAsiaTheme="minorEastAsia"/>
          <w:color w:val="000000" w:themeColor="text1"/>
          <w:spacing w:val="4"/>
        </w:rPr>
        <w:t xml:space="preserve">oral </w:t>
      </w:r>
      <w:r w:rsidRPr="1A84C4E1">
        <w:rPr>
          <w:rFonts w:eastAsiaTheme="minorEastAsia"/>
          <w:color w:val="000000" w:themeColor="text1"/>
          <w:spacing w:val="4"/>
        </w:rPr>
        <w:t xml:space="preserve">bisphosphonates? </w:t>
      </w:r>
      <w:r>
        <w:br/>
      </w:r>
      <w:r w:rsidRPr="1A84C4E1">
        <w:rPr>
          <w:rFonts w:eastAsiaTheme="minorEastAsia"/>
          <w:color w:val="000000" w:themeColor="text1"/>
          <w:spacing w:val="4"/>
        </w:rPr>
        <w:t>First thing in AM on empty stomach, with at least 8 oz of water, sit up for 30 min after, wait &gt;30 min before eating or drinking. Stop if symptoms of esophagitis develop.</w:t>
      </w:r>
    </w:p>
    <w:p w14:paraId="51D39300" w14:textId="23E65CAD" w:rsidR="000B22F1" w:rsidRPr="00EC5ADF" w:rsidRDefault="000B22F1" w:rsidP="007C47B2">
      <w:pPr>
        <w:numPr>
          <w:ilvl w:val="2"/>
          <w:numId w:val="15"/>
        </w:numPr>
        <w:spacing w:after="0" w:line="240" w:lineRule="auto"/>
        <w:textAlignment w:val="baseline"/>
        <w:rPr>
          <w:rFonts w:eastAsiaTheme="minorEastAsia"/>
          <w:color w:val="000000" w:themeColor="text1"/>
          <w:spacing w:val="4"/>
        </w:rPr>
      </w:pPr>
      <w:r w:rsidRPr="1A84C4E1">
        <w:rPr>
          <w:rFonts w:eastAsiaTheme="minorEastAsia"/>
          <w:color w:val="000000" w:themeColor="text1"/>
          <w:spacing w:val="4"/>
        </w:rPr>
        <w:t xml:space="preserve">Ask: Who might need an IV bisphosphonate? </w:t>
      </w:r>
      <w:r>
        <w:br/>
      </w:r>
      <w:r w:rsidRPr="1A84C4E1">
        <w:rPr>
          <w:rFonts w:eastAsiaTheme="minorEastAsia"/>
          <w:color w:val="000000" w:themeColor="text1"/>
          <w:spacing w:val="4"/>
        </w:rPr>
        <w:t xml:space="preserve">Patients with esophageal disorders, GI intolerance of oral bisphosphonates, Roux-en-Y gastric bypass history, patients who cannot sit upright after taking oral medications. </w:t>
      </w:r>
    </w:p>
    <w:p w14:paraId="0982667E" w14:textId="577E2007" w:rsidR="00485C08" w:rsidRPr="00EC5ADF" w:rsidRDefault="00485C08" w:rsidP="007C47B2">
      <w:pPr>
        <w:pStyle w:val="ListParagraph"/>
        <w:widowControl w:val="0"/>
        <w:numPr>
          <w:ilvl w:val="2"/>
          <w:numId w:val="15"/>
        </w:numPr>
        <w:autoSpaceDE w:val="0"/>
        <w:autoSpaceDN w:val="0"/>
        <w:adjustRightInd w:val="0"/>
        <w:spacing w:after="0" w:line="216" w:lineRule="atLeast"/>
        <w:rPr>
          <w:rFonts w:eastAsiaTheme="minorEastAsia"/>
          <w:color w:val="000000" w:themeColor="text1"/>
        </w:rPr>
      </w:pPr>
      <w:r w:rsidRPr="1A84C4E1">
        <w:rPr>
          <w:rFonts w:eastAsiaTheme="minorEastAsia"/>
          <w:color w:val="000000" w:themeColor="text1"/>
          <w:spacing w:val="4"/>
        </w:rPr>
        <w:t xml:space="preserve">Bonus: </w:t>
      </w:r>
      <w:r w:rsidR="1A84C4E1" w:rsidRPr="1A84C4E1">
        <w:rPr>
          <w:rFonts w:eastAsiaTheme="minorEastAsia"/>
          <w:color w:val="000000" w:themeColor="text1"/>
        </w:rPr>
        <w:t>Risk of atypical femur fracture is 0.2% after 5 years of bisphosphonate. Risk of osteonecrosis of the jaw is 1 in 10,000 to 1 in 100,000 patient-years</w:t>
      </w:r>
    </w:p>
    <w:p w14:paraId="47C3A2B1" w14:textId="77777777" w:rsidR="007C47B2" w:rsidRPr="007C47B2" w:rsidRDefault="1A84C4E1" w:rsidP="007C47B2">
      <w:pPr>
        <w:pStyle w:val="ListParagraph"/>
        <w:widowControl w:val="0"/>
        <w:numPr>
          <w:ilvl w:val="1"/>
          <w:numId w:val="15"/>
        </w:numPr>
        <w:autoSpaceDE w:val="0"/>
        <w:autoSpaceDN w:val="0"/>
        <w:adjustRightInd w:val="0"/>
        <w:spacing w:after="0" w:line="216" w:lineRule="atLeast"/>
        <w:rPr>
          <w:color w:val="000000" w:themeColor="text1"/>
        </w:rPr>
      </w:pPr>
      <w:r w:rsidRPr="1A84C4E1">
        <w:rPr>
          <w:rFonts w:eastAsiaTheme="minorEastAsia"/>
          <w:i/>
          <w:iCs/>
          <w:color w:val="000000" w:themeColor="text1"/>
          <w:u w:val="single"/>
        </w:rPr>
        <w:t>Denosumab</w:t>
      </w:r>
      <w:r w:rsidRPr="1A84C4E1">
        <w:rPr>
          <w:rFonts w:eastAsiaTheme="minorEastAsia"/>
          <w:color w:val="000000" w:themeColor="text1"/>
        </w:rPr>
        <w:t xml:space="preserve">: Second line agent. Monoclonal antibody to RANKL receptor, which activates osteoclasts. In effect, it inhibits osteoclasts and bone </w:t>
      </w:r>
      <w:r w:rsidR="007C47B2" w:rsidRPr="1A84C4E1">
        <w:rPr>
          <w:rFonts w:eastAsiaTheme="minorEastAsia"/>
          <w:color w:val="000000" w:themeColor="text1"/>
        </w:rPr>
        <w:t>resorption</w:t>
      </w:r>
      <w:r w:rsidRPr="1A84C4E1">
        <w:rPr>
          <w:rFonts w:eastAsiaTheme="minorEastAsia"/>
          <w:color w:val="000000" w:themeColor="text1"/>
        </w:rPr>
        <w:t xml:space="preserve">. It’s given as a subcutaneous injection every 6 months. However, it is a </w:t>
      </w:r>
      <w:r w:rsidR="007C47B2" w:rsidRPr="1A84C4E1">
        <w:rPr>
          <w:rFonts w:eastAsiaTheme="minorEastAsia"/>
          <w:color w:val="000000" w:themeColor="text1"/>
        </w:rPr>
        <w:t>lifelong</w:t>
      </w:r>
      <w:r w:rsidRPr="1A84C4E1">
        <w:rPr>
          <w:rFonts w:eastAsiaTheme="minorEastAsia"/>
          <w:color w:val="000000" w:themeColor="text1"/>
        </w:rPr>
        <w:t xml:space="preserve"> therapy and </w:t>
      </w:r>
      <w:r w:rsidR="007C47B2" w:rsidRPr="1A84C4E1">
        <w:rPr>
          <w:rFonts w:eastAsiaTheme="minorEastAsia"/>
          <w:color w:val="000000" w:themeColor="text1"/>
        </w:rPr>
        <w:t>cessation</w:t>
      </w:r>
      <w:r w:rsidRPr="1A84C4E1">
        <w:rPr>
          <w:rFonts w:eastAsiaTheme="minorEastAsia"/>
          <w:color w:val="000000" w:themeColor="text1"/>
        </w:rPr>
        <w:t xml:space="preserve"> of therapy leads to accelerated bone loss. </w:t>
      </w:r>
    </w:p>
    <w:p w14:paraId="227B7DC4" w14:textId="439BB6E1" w:rsidR="00485C08" w:rsidRPr="00EC5ADF" w:rsidRDefault="1A84C4E1" w:rsidP="007C47B2">
      <w:pPr>
        <w:pStyle w:val="ListParagraph"/>
        <w:widowControl w:val="0"/>
        <w:numPr>
          <w:ilvl w:val="1"/>
          <w:numId w:val="15"/>
        </w:numPr>
        <w:autoSpaceDE w:val="0"/>
        <w:autoSpaceDN w:val="0"/>
        <w:adjustRightInd w:val="0"/>
        <w:spacing w:after="0" w:line="216" w:lineRule="atLeast"/>
        <w:rPr>
          <w:color w:val="000000" w:themeColor="text1"/>
        </w:rPr>
      </w:pPr>
      <w:r w:rsidRPr="007C47B2">
        <w:rPr>
          <w:rFonts w:eastAsiaTheme="minorEastAsia"/>
          <w:i/>
          <w:iCs/>
          <w:color w:val="000000" w:themeColor="text1"/>
          <w:u w:val="single"/>
        </w:rPr>
        <w:t>Anabolics</w:t>
      </w:r>
      <w:r w:rsidRPr="1A84C4E1">
        <w:rPr>
          <w:rFonts w:eastAsiaTheme="minorEastAsia"/>
          <w:i/>
          <w:iCs/>
          <w:color w:val="000000" w:themeColor="text1"/>
        </w:rPr>
        <w:t xml:space="preserve">: </w:t>
      </w:r>
      <w:r w:rsidRPr="1A84C4E1">
        <w:rPr>
          <w:rFonts w:eastAsiaTheme="minorEastAsia"/>
          <w:color w:val="000000" w:themeColor="text1"/>
        </w:rPr>
        <w:t xml:space="preserve">Briefly touch on </w:t>
      </w:r>
      <w:proofErr w:type="spellStart"/>
      <w:r w:rsidRPr="1A84C4E1">
        <w:rPr>
          <w:rFonts w:eastAsiaTheme="minorEastAsia"/>
          <w:color w:val="000000" w:themeColor="text1"/>
        </w:rPr>
        <w:t>anabolics</w:t>
      </w:r>
      <w:proofErr w:type="spellEnd"/>
      <w:r w:rsidRPr="1A84C4E1">
        <w:rPr>
          <w:rFonts w:eastAsiaTheme="minorEastAsia"/>
          <w:color w:val="000000" w:themeColor="text1"/>
        </w:rPr>
        <w:t xml:space="preserve"> and SERMs. Endocrinologists are the main prescribers. Anabolics are indicated for patients who are very high risk for fractures (T-score &gt; -3.5 or T-score &gt; -2.5 + fragility fracture) or cannot tolerate/ develop fractures on   bisphosphonate/denosumab then think anabolic. They are likely the most effective of the targeted therapies. </w:t>
      </w:r>
    </w:p>
    <w:p w14:paraId="7FBA1DC6" w14:textId="15686DBF" w:rsidR="00485C08" w:rsidRPr="00EC5ADF" w:rsidRDefault="1A84C4E1" w:rsidP="007C47B2">
      <w:pPr>
        <w:pStyle w:val="ListParagraph"/>
        <w:widowControl w:val="0"/>
        <w:numPr>
          <w:ilvl w:val="2"/>
          <w:numId w:val="15"/>
        </w:numPr>
        <w:autoSpaceDE w:val="0"/>
        <w:autoSpaceDN w:val="0"/>
        <w:adjustRightInd w:val="0"/>
        <w:spacing w:after="0" w:line="216" w:lineRule="atLeast"/>
        <w:rPr>
          <w:rFonts w:eastAsiaTheme="minorEastAsia"/>
          <w:color w:val="000000" w:themeColor="text1"/>
        </w:rPr>
      </w:pPr>
      <w:r w:rsidRPr="1A84C4E1">
        <w:rPr>
          <w:rFonts w:eastAsiaTheme="minorEastAsia"/>
          <w:color w:val="000000" w:themeColor="text1"/>
        </w:rPr>
        <w:lastRenderedPageBreak/>
        <w:t xml:space="preserve">Bonus: DO NOT use </w:t>
      </w:r>
      <w:proofErr w:type="spellStart"/>
      <w:r w:rsidRPr="1A84C4E1">
        <w:rPr>
          <w:rFonts w:eastAsiaTheme="minorEastAsia"/>
          <w:color w:val="000000" w:themeColor="text1"/>
        </w:rPr>
        <w:t>Romosozumab</w:t>
      </w:r>
      <w:proofErr w:type="spellEnd"/>
      <w:r w:rsidRPr="1A84C4E1">
        <w:rPr>
          <w:rFonts w:eastAsiaTheme="minorEastAsia"/>
          <w:color w:val="000000" w:themeColor="text1"/>
        </w:rPr>
        <w:t xml:space="preserve"> in patients with CVD as it may increase risk of MI and stroke</w:t>
      </w:r>
    </w:p>
    <w:p w14:paraId="6BC4EB56" w14:textId="20BA79F9" w:rsidR="00485C08" w:rsidRPr="007C682A" w:rsidRDefault="1A84C4E1" w:rsidP="007C47B2">
      <w:pPr>
        <w:pStyle w:val="ListParagraph"/>
        <w:widowControl w:val="0"/>
        <w:numPr>
          <w:ilvl w:val="1"/>
          <w:numId w:val="15"/>
        </w:numPr>
        <w:autoSpaceDE w:val="0"/>
        <w:autoSpaceDN w:val="0"/>
        <w:adjustRightInd w:val="0"/>
        <w:spacing w:after="0" w:line="216" w:lineRule="atLeast"/>
        <w:rPr>
          <w:color w:val="000000" w:themeColor="text1"/>
        </w:rPr>
      </w:pPr>
      <w:r w:rsidRPr="1A84C4E1">
        <w:rPr>
          <w:rFonts w:eastAsiaTheme="minorEastAsia"/>
          <w:i/>
          <w:iCs/>
          <w:color w:val="000000" w:themeColor="text1"/>
          <w:u w:val="single"/>
        </w:rPr>
        <w:t>SERMS</w:t>
      </w:r>
      <w:r w:rsidRPr="1A84C4E1">
        <w:rPr>
          <w:rFonts w:eastAsiaTheme="minorEastAsia"/>
          <w:i/>
          <w:iCs/>
          <w:color w:val="000000" w:themeColor="text1"/>
        </w:rPr>
        <w:t xml:space="preserve">: </w:t>
      </w:r>
      <w:r w:rsidRPr="007C682A">
        <w:rPr>
          <w:rFonts w:eastAsiaTheme="minorEastAsia"/>
          <w:color w:val="000000" w:themeColor="text1"/>
        </w:rPr>
        <w:t xml:space="preserve">Briefly touch on SERMS. Emphasize that these are rarely used for osteoporosis and only in very specific populations. They can be considered in post-menopausal women with high risk of osteoporotic fractures. </w:t>
      </w:r>
    </w:p>
    <w:p w14:paraId="47AAFB7B" w14:textId="77777777" w:rsidR="000C6350" w:rsidRPr="00EC5ADF" w:rsidRDefault="000C6350" w:rsidP="1A84C4E1">
      <w:pPr>
        <w:pStyle w:val="ListParagraph"/>
        <w:widowControl w:val="0"/>
        <w:autoSpaceDE w:val="0"/>
        <w:autoSpaceDN w:val="0"/>
        <w:adjustRightInd w:val="0"/>
        <w:spacing w:after="0" w:line="216" w:lineRule="atLeast"/>
        <w:rPr>
          <w:rFonts w:eastAsiaTheme="minorEastAsia"/>
          <w:color w:val="000000" w:themeColor="text1"/>
        </w:rPr>
      </w:pPr>
    </w:p>
    <w:p w14:paraId="6BEF82E8" w14:textId="77777777" w:rsidR="00EC5ADF" w:rsidRPr="007C682A" w:rsidRDefault="00F10DC5" w:rsidP="1A84C4E1">
      <w:pPr>
        <w:shd w:val="clear" w:color="auto" w:fill="FEFEFE"/>
        <w:spacing w:after="0" w:line="240" w:lineRule="auto"/>
        <w:rPr>
          <w:rFonts w:eastAsiaTheme="minorEastAsia"/>
          <w:b/>
          <w:bCs/>
          <w:color w:val="000000" w:themeColor="text1"/>
          <w:spacing w:val="4"/>
        </w:rPr>
      </w:pPr>
      <w:r w:rsidRPr="1A84C4E1">
        <w:rPr>
          <w:rFonts w:eastAsiaTheme="minorEastAsia"/>
          <w:b/>
          <w:bCs/>
          <w:color w:val="000000" w:themeColor="text1"/>
          <w:spacing w:val="4"/>
        </w:rPr>
        <w:t xml:space="preserve">Objective 4: </w:t>
      </w:r>
      <w:r w:rsidR="00EC5ADF" w:rsidRPr="007C682A">
        <w:rPr>
          <w:rFonts w:eastAsiaTheme="minorEastAsia"/>
          <w:b/>
          <w:bCs/>
          <w:color w:val="000000" w:themeColor="text1"/>
          <w:spacing w:val="4"/>
        </w:rPr>
        <w:t xml:space="preserve">Determine appropriate monitoring strategies for those with and at risk for osteoporosis </w:t>
      </w:r>
    </w:p>
    <w:p w14:paraId="5DE292A2" w14:textId="77777777" w:rsidR="007C47B2" w:rsidRDefault="004F6B09" w:rsidP="007C47B2">
      <w:pPr>
        <w:spacing w:after="0" w:line="240" w:lineRule="auto"/>
        <w:rPr>
          <w:rFonts w:eastAsiaTheme="minorEastAsia"/>
          <w:color w:val="000000" w:themeColor="text1"/>
          <w:spacing w:val="4"/>
        </w:rPr>
      </w:pPr>
      <w:r w:rsidRPr="007C47B2">
        <w:rPr>
          <w:rFonts w:eastAsiaTheme="minorEastAsia"/>
          <w:i/>
          <w:iCs/>
          <w:color w:val="000000" w:themeColor="text1"/>
          <w:spacing w:val="4"/>
        </w:rPr>
        <w:t>Algorithm</w:t>
      </w:r>
      <w:r w:rsidRPr="007C47B2">
        <w:rPr>
          <w:rFonts w:eastAsiaTheme="minorEastAsia"/>
          <w:color w:val="000000" w:themeColor="text1"/>
          <w:spacing w:val="4"/>
        </w:rPr>
        <w:t>: This schematic is meant to help you determine when to repeat DXA based on previous results as it depends on prior DXA score or FRAX score and current therapy.</w:t>
      </w:r>
      <w:r w:rsidR="000C6350" w:rsidRPr="007C47B2">
        <w:rPr>
          <w:rFonts w:eastAsiaTheme="minorEastAsia"/>
          <w:color w:val="000000" w:themeColor="text1"/>
          <w:spacing w:val="4"/>
        </w:rPr>
        <w:t xml:space="preserve"> </w:t>
      </w:r>
    </w:p>
    <w:p w14:paraId="6855A6D3" w14:textId="4FADE978" w:rsidR="000F4CF4" w:rsidRPr="007C47B2" w:rsidRDefault="000F4CF4" w:rsidP="007C47B2">
      <w:pPr>
        <w:pStyle w:val="ListParagraph"/>
        <w:numPr>
          <w:ilvl w:val="0"/>
          <w:numId w:val="18"/>
        </w:numPr>
        <w:spacing w:after="100" w:afterAutospacing="1" w:line="240" w:lineRule="auto"/>
        <w:rPr>
          <w:rFonts w:eastAsiaTheme="minorEastAsia"/>
          <w:color w:val="000000" w:themeColor="text1"/>
          <w:spacing w:val="4"/>
        </w:rPr>
      </w:pPr>
      <w:r w:rsidRPr="007C47B2">
        <w:rPr>
          <w:rFonts w:eastAsiaTheme="minorEastAsia"/>
          <w:color w:val="000000" w:themeColor="text1"/>
          <w:spacing w:val="4"/>
        </w:rPr>
        <w:t>Patients who are low (T-score &gt;-1.5) low-moderate (-1.5 &lt; T-score &lt;-2.0), and moderate risk (</w:t>
      </w:r>
      <w:r w:rsidR="1A84C4E1" w:rsidRPr="007C47B2">
        <w:rPr>
          <w:rFonts w:eastAsiaTheme="minorEastAsia"/>
          <w:color w:val="000000" w:themeColor="text1"/>
        </w:rPr>
        <w:t xml:space="preserve">-2.0 &lt; T-score &lt;-2.5) should still be monitored with serial DXA at intervals </w:t>
      </w:r>
      <w:r w:rsidRPr="007C47B2">
        <w:rPr>
          <w:rFonts w:eastAsiaTheme="minorEastAsia"/>
          <w:color w:val="000000" w:themeColor="text1"/>
          <w:spacing w:val="4"/>
        </w:rPr>
        <w:t>determined by risk.</w:t>
      </w:r>
      <w:r w:rsidR="007C682A" w:rsidRPr="007C47B2">
        <w:rPr>
          <w:rFonts w:eastAsiaTheme="minorEastAsia"/>
          <w:color w:val="000000" w:themeColor="text1"/>
          <w:spacing w:val="4"/>
        </w:rPr>
        <w:t xml:space="preserve"> </w:t>
      </w:r>
      <w:r w:rsidRPr="007C47B2">
        <w:rPr>
          <w:rFonts w:eastAsiaTheme="minorEastAsia"/>
          <w:i/>
          <w:iCs/>
          <w:color w:val="000000" w:themeColor="text1"/>
          <w:spacing w:val="4"/>
        </w:rPr>
        <w:t xml:space="preserve">Click on each risk category to reveal screening interval. </w:t>
      </w:r>
    </w:p>
    <w:p w14:paraId="791FCCC1" w14:textId="516F2AA4" w:rsidR="000F4CF4" w:rsidRDefault="1A84C4E1" w:rsidP="007C47B2">
      <w:pPr>
        <w:pStyle w:val="ListParagraph"/>
        <w:numPr>
          <w:ilvl w:val="0"/>
          <w:numId w:val="18"/>
        </w:numPr>
        <w:spacing w:afterAutospacing="1" w:line="240" w:lineRule="auto"/>
        <w:rPr>
          <w:rFonts w:eastAsiaTheme="minorEastAsia"/>
          <w:color w:val="000000" w:themeColor="text1"/>
        </w:rPr>
      </w:pPr>
      <w:r w:rsidRPr="1A84C4E1">
        <w:rPr>
          <w:rFonts w:eastAsiaTheme="minorEastAsia"/>
          <w:color w:val="000000" w:themeColor="text1"/>
        </w:rPr>
        <w:t xml:space="preserve">Patients who are high risk and meet diagnostic criteria for osteoporosis should start bisphosphonate therapy (along with primary interventions as appropriate such as vitamin D and calcium supplementation) </w:t>
      </w:r>
      <w:proofErr w:type="gramStart"/>
      <w:r w:rsidRPr="1A84C4E1">
        <w:rPr>
          <w:rFonts w:eastAsiaTheme="minorEastAsia"/>
          <w:color w:val="000000" w:themeColor="text1"/>
        </w:rPr>
        <w:t>as long as</w:t>
      </w:r>
      <w:proofErr w:type="gramEnd"/>
      <w:r w:rsidRPr="1A84C4E1">
        <w:rPr>
          <w:rFonts w:eastAsiaTheme="minorEastAsia"/>
          <w:color w:val="000000" w:themeColor="text1"/>
        </w:rPr>
        <w:t xml:space="preserve"> their GFR &gt; 35 and they are able to tolerate therapy. </w:t>
      </w:r>
      <w:r w:rsidRPr="1A84C4E1">
        <w:rPr>
          <w:rFonts w:eastAsiaTheme="minorEastAsia"/>
          <w:i/>
          <w:iCs/>
          <w:color w:val="000000" w:themeColor="text1"/>
        </w:rPr>
        <w:t xml:space="preserve">Click on “bisphosphonate” to reveal screening interval. </w:t>
      </w:r>
      <w:r w:rsidRPr="1A84C4E1">
        <w:rPr>
          <w:rFonts w:eastAsiaTheme="minorEastAsia"/>
          <w:color w:val="000000" w:themeColor="text1"/>
        </w:rPr>
        <w:t xml:space="preserve">Patients who are started on bisphosphonates should receive a follow-up DXA to assess BMD at 3-5 years. Consider a drug holiday after </w:t>
      </w:r>
      <w:r w:rsidR="00F70C4D" w:rsidRPr="1A84C4E1">
        <w:rPr>
          <w:rFonts w:eastAsiaTheme="minorEastAsia"/>
          <w:color w:val="000000" w:themeColor="text1"/>
          <w:spacing w:val="4"/>
        </w:rPr>
        <w:t>3 years of IV or 5 years of oral bispho</w:t>
      </w:r>
      <w:r w:rsidR="007C682A">
        <w:rPr>
          <w:rFonts w:eastAsiaTheme="minorEastAsia"/>
          <w:color w:val="000000" w:themeColor="text1"/>
          <w:spacing w:val="4"/>
        </w:rPr>
        <w:t>s</w:t>
      </w:r>
      <w:r w:rsidR="00F70C4D" w:rsidRPr="1A84C4E1">
        <w:rPr>
          <w:rFonts w:eastAsiaTheme="minorEastAsia"/>
          <w:color w:val="000000" w:themeColor="text1"/>
          <w:spacing w:val="4"/>
        </w:rPr>
        <w:t xml:space="preserve">phonates. Patients who have worsening BMD or remain high risk should be considered for endocrine referral for alternative therapies such as denosumab or </w:t>
      </w:r>
      <w:proofErr w:type="spellStart"/>
      <w:r w:rsidR="00F70C4D" w:rsidRPr="1A84C4E1">
        <w:rPr>
          <w:rFonts w:eastAsiaTheme="minorEastAsia"/>
          <w:color w:val="000000" w:themeColor="text1"/>
          <w:spacing w:val="4"/>
        </w:rPr>
        <w:t>anabolics</w:t>
      </w:r>
      <w:proofErr w:type="spellEnd"/>
      <w:r w:rsidR="00F70C4D" w:rsidRPr="1A84C4E1">
        <w:rPr>
          <w:rFonts w:eastAsiaTheme="minorEastAsia"/>
          <w:color w:val="000000" w:themeColor="text1"/>
          <w:spacing w:val="4"/>
        </w:rPr>
        <w:t xml:space="preserve">. </w:t>
      </w:r>
      <w:r w:rsidR="000F4CF4" w:rsidRPr="1A84C4E1">
        <w:rPr>
          <w:rFonts w:eastAsiaTheme="minorEastAsia"/>
          <w:color w:val="000000" w:themeColor="text1"/>
          <w:spacing w:val="4"/>
        </w:rPr>
        <w:t xml:space="preserve">in which case consider endo referral </w:t>
      </w:r>
    </w:p>
    <w:p w14:paraId="0F5136C4" w14:textId="1A7B365F" w:rsidR="00F70C4D" w:rsidRPr="00EC5ADF" w:rsidRDefault="00F70C4D" w:rsidP="007C47B2">
      <w:pPr>
        <w:pStyle w:val="ListParagraph"/>
        <w:numPr>
          <w:ilvl w:val="0"/>
          <w:numId w:val="18"/>
        </w:numPr>
        <w:spacing w:after="100" w:afterAutospacing="1" w:line="240" w:lineRule="auto"/>
        <w:rPr>
          <w:rFonts w:eastAsiaTheme="minorEastAsia"/>
          <w:color w:val="000000" w:themeColor="text1"/>
          <w:spacing w:val="4"/>
        </w:rPr>
      </w:pPr>
      <w:r w:rsidRPr="1A84C4E1">
        <w:rPr>
          <w:rFonts w:eastAsiaTheme="minorEastAsia"/>
          <w:color w:val="000000" w:themeColor="text1"/>
          <w:spacing w:val="4"/>
        </w:rPr>
        <w:t>Bonus: rationale for drug holidays: there is evidence for a lasting benefit from bisphosphonates even after stopping the med</w:t>
      </w:r>
      <w:r w:rsidR="000B22F1" w:rsidRPr="1A84C4E1">
        <w:rPr>
          <w:rFonts w:eastAsiaTheme="minorEastAsia"/>
          <w:color w:val="000000" w:themeColor="text1"/>
          <w:spacing w:val="4"/>
        </w:rPr>
        <w:t>, and risk of atypical femur fracture with long term use</w:t>
      </w:r>
      <w:r w:rsidRPr="1A84C4E1">
        <w:rPr>
          <w:rFonts w:eastAsiaTheme="minorEastAsia"/>
          <w:color w:val="000000" w:themeColor="text1"/>
          <w:spacing w:val="4"/>
        </w:rPr>
        <w:t>. During a drug holiday, re-screen every 2 to 4 years to make sure BMD stays stable.</w:t>
      </w:r>
    </w:p>
    <w:p w14:paraId="39C250C9" w14:textId="45F1409D" w:rsidR="00BE73DA" w:rsidRPr="00EC5ADF" w:rsidRDefault="1A84C4E1" w:rsidP="1A84C4E1">
      <w:pPr>
        <w:spacing w:after="0" w:line="240" w:lineRule="auto"/>
        <w:contextualSpacing/>
        <w:outlineLvl w:val="1"/>
        <w:rPr>
          <w:rFonts w:eastAsiaTheme="minorEastAsia"/>
          <w:b/>
          <w:bCs/>
          <w:color w:val="000000"/>
        </w:rPr>
      </w:pPr>
      <w:r w:rsidRPr="1A84C4E1">
        <w:rPr>
          <w:rFonts w:eastAsiaTheme="minorEastAsia"/>
          <w:b/>
          <w:bCs/>
          <w:color w:val="000000" w:themeColor="text1"/>
        </w:rPr>
        <w:t>Handout(s)</w:t>
      </w:r>
      <w:r w:rsidR="007C47B2">
        <w:rPr>
          <w:rFonts w:eastAsiaTheme="minorEastAsia"/>
          <w:b/>
          <w:bCs/>
          <w:color w:val="000000" w:themeColor="text1"/>
        </w:rPr>
        <w:t>:</w:t>
      </w:r>
    </w:p>
    <w:p w14:paraId="39C250CA" w14:textId="7E03E6EA" w:rsidR="0060144B" w:rsidRPr="00EC5ADF" w:rsidRDefault="004F6F8E" w:rsidP="1A84C4E1">
      <w:pPr>
        <w:rPr>
          <w:rFonts w:eastAsiaTheme="minorEastAsia"/>
        </w:rPr>
      </w:pPr>
      <w:r w:rsidRPr="1A84C4E1">
        <w:rPr>
          <w:rFonts w:eastAsiaTheme="minorEastAsia"/>
          <w:color w:val="808080"/>
          <w:spacing w:val="4"/>
          <w:shd w:val="clear" w:color="auto" w:fill="FEFEFE"/>
        </w:rPr>
        <w:t>Recommend printing out ahead of time and distributing to learners when you are ready to do pair-shares for the cases.</w:t>
      </w:r>
    </w:p>
    <w:p w14:paraId="39C250D8" w14:textId="0732E113" w:rsidR="00BE73DA" w:rsidRPr="00EC5ADF" w:rsidRDefault="1A84C4E1" w:rsidP="1A84C4E1">
      <w:pPr>
        <w:spacing w:after="0" w:line="240" w:lineRule="auto"/>
        <w:contextualSpacing/>
        <w:outlineLvl w:val="1"/>
        <w:rPr>
          <w:rFonts w:eastAsiaTheme="minorEastAsia"/>
          <w:b/>
          <w:bCs/>
          <w:color w:val="000000"/>
        </w:rPr>
      </w:pPr>
      <w:r w:rsidRPr="1A84C4E1">
        <w:rPr>
          <w:rFonts w:eastAsiaTheme="minorEastAsia"/>
          <w:b/>
          <w:bCs/>
          <w:color w:val="000000" w:themeColor="text1"/>
        </w:rPr>
        <w:t>Take Home Points</w:t>
      </w:r>
      <w:r w:rsidR="007C47B2">
        <w:rPr>
          <w:rFonts w:eastAsiaTheme="minorEastAsia"/>
          <w:b/>
          <w:bCs/>
          <w:color w:val="000000" w:themeColor="text1"/>
        </w:rPr>
        <w:t>:</w:t>
      </w:r>
    </w:p>
    <w:p w14:paraId="76BEA07B" w14:textId="60D98EC3" w:rsidR="00B82946" w:rsidRPr="00EC5ADF" w:rsidRDefault="1A84C4E1" w:rsidP="1A84C4E1">
      <w:pPr>
        <w:pStyle w:val="ListParagraph"/>
        <w:numPr>
          <w:ilvl w:val="0"/>
          <w:numId w:val="19"/>
        </w:numPr>
        <w:spacing w:after="0" w:line="240" w:lineRule="auto"/>
        <w:outlineLvl w:val="1"/>
        <w:rPr>
          <w:rFonts w:eastAsiaTheme="minorEastAsia"/>
        </w:rPr>
      </w:pPr>
      <w:r w:rsidRPr="1A84C4E1">
        <w:rPr>
          <w:rFonts w:eastAsiaTheme="minorEastAsia"/>
        </w:rPr>
        <w:t>Screen all women over 65 years old and anyone who has risk factors for osteoporosis with DXA</w:t>
      </w:r>
    </w:p>
    <w:p w14:paraId="7ED85962" w14:textId="550EE32F" w:rsidR="00B82946" w:rsidRPr="00EC5ADF" w:rsidRDefault="1A84C4E1" w:rsidP="1A84C4E1">
      <w:pPr>
        <w:pStyle w:val="ListParagraph"/>
        <w:numPr>
          <w:ilvl w:val="0"/>
          <w:numId w:val="19"/>
        </w:numPr>
        <w:spacing w:after="0" w:line="240" w:lineRule="auto"/>
        <w:outlineLvl w:val="1"/>
        <w:rPr>
          <w:rFonts w:eastAsiaTheme="minorEastAsia"/>
        </w:rPr>
      </w:pPr>
      <w:r w:rsidRPr="1A84C4E1">
        <w:rPr>
          <w:rFonts w:eastAsiaTheme="minorEastAsia"/>
        </w:rPr>
        <w:t>Bisphosphonates are 1</w:t>
      </w:r>
      <w:r w:rsidRPr="1A84C4E1">
        <w:rPr>
          <w:rFonts w:eastAsiaTheme="minorEastAsia"/>
          <w:vertAlign w:val="superscript"/>
        </w:rPr>
        <w:t>st</w:t>
      </w:r>
      <w:r w:rsidRPr="1A84C4E1">
        <w:rPr>
          <w:rFonts w:eastAsiaTheme="minorEastAsia"/>
        </w:rPr>
        <w:t xml:space="preserve"> line therapy for most people with osteoporosis without severe renal insufficiency. Side </w:t>
      </w:r>
      <w:r w:rsidR="007C47B2" w:rsidRPr="1A84C4E1">
        <w:rPr>
          <w:rFonts w:eastAsiaTheme="minorEastAsia"/>
        </w:rPr>
        <w:t>effects include</w:t>
      </w:r>
      <w:r w:rsidRPr="1A84C4E1">
        <w:rPr>
          <w:rFonts w:eastAsiaTheme="minorEastAsia"/>
        </w:rPr>
        <w:t xml:space="preserve"> esophagitis, hypocalcemia and rarely jaw osteonecrosis, and atypical femur fracture</w:t>
      </w:r>
    </w:p>
    <w:p w14:paraId="180E9032" w14:textId="6C087DA2" w:rsidR="00B82946" w:rsidRPr="00EC5ADF" w:rsidRDefault="1A84C4E1" w:rsidP="1A84C4E1">
      <w:pPr>
        <w:pStyle w:val="ListParagraph"/>
        <w:numPr>
          <w:ilvl w:val="0"/>
          <w:numId w:val="19"/>
        </w:numPr>
        <w:spacing w:after="0" w:line="240" w:lineRule="auto"/>
        <w:outlineLvl w:val="1"/>
        <w:rPr>
          <w:rFonts w:eastAsiaTheme="minorEastAsia"/>
        </w:rPr>
      </w:pPr>
      <w:r w:rsidRPr="1A84C4E1">
        <w:rPr>
          <w:rFonts w:eastAsiaTheme="minorEastAsia"/>
        </w:rPr>
        <w:t>Consider drug holiday after 3-5 years of treatment with bisphosphonates to avoid risk of atypical femur fracture</w:t>
      </w:r>
    </w:p>
    <w:p w14:paraId="00D4A7D0" w14:textId="77777777" w:rsidR="00B82946" w:rsidRPr="00EC5ADF" w:rsidRDefault="00B82946" w:rsidP="1A84C4E1">
      <w:pPr>
        <w:spacing w:after="0" w:line="240" w:lineRule="auto"/>
        <w:contextualSpacing/>
        <w:outlineLvl w:val="1"/>
        <w:rPr>
          <w:rFonts w:eastAsiaTheme="minorEastAsia"/>
          <w:b/>
          <w:bCs/>
          <w:color w:val="000000"/>
        </w:rPr>
      </w:pPr>
    </w:p>
    <w:p w14:paraId="416A2AA6" w14:textId="372E52FF" w:rsidR="00195450" w:rsidRPr="00EC5ADF" w:rsidRDefault="1A84C4E1" w:rsidP="008A6F40">
      <w:pPr>
        <w:spacing w:after="0" w:line="240" w:lineRule="auto"/>
        <w:contextualSpacing/>
        <w:outlineLvl w:val="1"/>
        <w:rPr>
          <w:rFonts w:eastAsiaTheme="minorEastAsia"/>
          <w:b/>
          <w:bCs/>
          <w:color w:val="000000"/>
        </w:rPr>
      </w:pPr>
      <w:r w:rsidRPr="1A84C4E1">
        <w:rPr>
          <w:rFonts w:eastAsiaTheme="minorEastAsia"/>
          <w:b/>
          <w:bCs/>
          <w:color w:val="000000" w:themeColor="text1"/>
        </w:rPr>
        <w:t>References</w:t>
      </w:r>
      <w:r w:rsidR="007C47B2">
        <w:rPr>
          <w:rFonts w:eastAsiaTheme="minorEastAsia"/>
          <w:b/>
          <w:bCs/>
          <w:color w:val="000000" w:themeColor="text1"/>
        </w:rPr>
        <w:t>:</w:t>
      </w:r>
    </w:p>
    <w:p w14:paraId="703A5007" w14:textId="548D28F0" w:rsidR="00740C3D" w:rsidRPr="00EC5ADF" w:rsidRDefault="1A84C4E1" w:rsidP="008A6F40">
      <w:pPr>
        <w:pStyle w:val="ListParagraph"/>
        <w:numPr>
          <w:ilvl w:val="0"/>
          <w:numId w:val="2"/>
        </w:numPr>
        <w:spacing w:after="0" w:line="240" w:lineRule="auto"/>
        <w:rPr>
          <w:rFonts w:eastAsiaTheme="minorEastAsia"/>
        </w:rPr>
      </w:pPr>
      <w:r w:rsidRPr="007C47B2">
        <w:rPr>
          <w:rFonts w:eastAsiaTheme="minorEastAsia"/>
          <w:color w:val="2A2A2A"/>
        </w:rPr>
        <w:t xml:space="preserve">Barrionuevo P, et al.  Efficacy of Pharmacological Therapies for the Prevention of Fractures in Postmenopausal Women: A Network Meta-Analysis, </w:t>
      </w:r>
      <w:r w:rsidRPr="007C47B2">
        <w:rPr>
          <w:rFonts w:eastAsiaTheme="minorEastAsia"/>
          <w:i/>
          <w:iCs/>
          <w:color w:val="2A2A2A"/>
        </w:rPr>
        <w:t>The Journal of Clinical Endocrinology &amp; Metabolism</w:t>
      </w:r>
      <w:r w:rsidRPr="007C47B2">
        <w:rPr>
          <w:rFonts w:eastAsiaTheme="minorEastAsia"/>
          <w:color w:val="2A2A2A"/>
        </w:rPr>
        <w:t xml:space="preserve">, Volume 104, Issue 5, May 2019, Pages 1623–1630, </w:t>
      </w:r>
      <w:hyperlink r:id="rId11" w:history="1">
        <w:r w:rsidRPr="1A84C4E1">
          <w:rPr>
            <w:rStyle w:val="Hyperlink"/>
            <w:rFonts w:ascii="Source Sans Pro" w:eastAsia="Source Sans Pro" w:hAnsi="Source Sans Pro" w:cs="Source Sans Pro"/>
            <w:sz w:val="24"/>
            <w:szCs w:val="24"/>
          </w:rPr>
          <w:t>https://doi.org/10.1210/jc.2019-00192</w:t>
        </w:r>
      </w:hyperlink>
    </w:p>
    <w:p w14:paraId="610A3725" w14:textId="702E03F5" w:rsidR="00740C3D" w:rsidRPr="007C47B2" w:rsidRDefault="1A84C4E1" w:rsidP="1A84C4E1">
      <w:pPr>
        <w:pStyle w:val="ListParagraph"/>
        <w:numPr>
          <w:ilvl w:val="0"/>
          <w:numId w:val="2"/>
        </w:numPr>
        <w:spacing w:before="100" w:beforeAutospacing="1" w:after="100" w:afterAutospacing="1" w:line="240" w:lineRule="auto"/>
        <w:rPr>
          <w:rFonts w:eastAsiaTheme="minorEastAsia"/>
        </w:rPr>
      </w:pPr>
      <w:proofErr w:type="spellStart"/>
      <w:r w:rsidRPr="1A84C4E1">
        <w:rPr>
          <w:rFonts w:eastAsiaTheme="minorEastAsia"/>
          <w:color w:val="000000" w:themeColor="text1"/>
        </w:rPr>
        <w:t>Eastell</w:t>
      </w:r>
      <w:proofErr w:type="spellEnd"/>
      <w:r w:rsidRPr="1A84C4E1">
        <w:rPr>
          <w:rFonts w:eastAsiaTheme="minorEastAsia"/>
          <w:color w:val="000000" w:themeColor="text1"/>
        </w:rPr>
        <w:t>, Richard, et al. “Pharmacological Management of Osteoporosis in Postmenopausal Women: An Endocrine Society* Clinical Practice Guideline.” </w:t>
      </w:r>
      <w:r w:rsidRPr="1A84C4E1">
        <w:rPr>
          <w:rFonts w:eastAsiaTheme="minorEastAsia"/>
          <w:i/>
          <w:iCs/>
          <w:color w:val="000000" w:themeColor="text1"/>
        </w:rPr>
        <w:t>OUP Academic</w:t>
      </w:r>
      <w:r w:rsidRPr="1A84C4E1">
        <w:rPr>
          <w:rFonts w:eastAsiaTheme="minorEastAsia"/>
          <w:color w:val="000000" w:themeColor="text1"/>
        </w:rPr>
        <w:t xml:space="preserve">, Oxford University Press, 25 Mar. 2019, </w:t>
      </w:r>
      <w:hyperlink r:id="rId12" w:history="1">
        <w:r w:rsidRPr="1A84C4E1">
          <w:rPr>
            <w:rStyle w:val="Hyperlink"/>
          </w:rPr>
          <w:t>https://academic.oup.com/jcem/article/104/5/1595/5418884. </w:t>
        </w:r>
      </w:hyperlink>
    </w:p>
    <w:p w14:paraId="35528929" w14:textId="175FCFF7" w:rsidR="00B82946" w:rsidRPr="007C47B2" w:rsidRDefault="1A84C4E1" w:rsidP="1A84C4E1">
      <w:pPr>
        <w:pStyle w:val="ListParagraph"/>
        <w:numPr>
          <w:ilvl w:val="0"/>
          <w:numId w:val="2"/>
        </w:numPr>
        <w:spacing w:before="100" w:beforeAutospacing="1" w:after="100" w:afterAutospacing="1" w:line="240" w:lineRule="auto"/>
        <w:rPr>
          <w:rFonts w:eastAsiaTheme="minorEastAsia"/>
          <w:color w:val="000000"/>
        </w:rPr>
      </w:pPr>
      <w:r w:rsidRPr="1A84C4E1">
        <w:rPr>
          <w:rFonts w:eastAsiaTheme="minorEastAsia"/>
          <w:color w:val="000000" w:themeColor="text1"/>
        </w:rPr>
        <w:t xml:space="preserve">Rosen, Harold N, and Marc K </w:t>
      </w:r>
      <w:proofErr w:type="spellStart"/>
      <w:r w:rsidRPr="1A84C4E1">
        <w:rPr>
          <w:rFonts w:eastAsiaTheme="minorEastAsia"/>
          <w:color w:val="000000" w:themeColor="text1"/>
        </w:rPr>
        <w:t>Drezner</w:t>
      </w:r>
      <w:proofErr w:type="spellEnd"/>
      <w:r w:rsidRPr="1A84C4E1">
        <w:rPr>
          <w:rFonts w:eastAsiaTheme="minorEastAsia"/>
          <w:color w:val="000000" w:themeColor="text1"/>
        </w:rPr>
        <w:t>. “Overview of the Management of Osteoporosis in Postmenopausal Women.” </w:t>
      </w:r>
      <w:proofErr w:type="gramStart"/>
      <w:r w:rsidRPr="1A84C4E1">
        <w:rPr>
          <w:rFonts w:eastAsiaTheme="minorEastAsia"/>
          <w:i/>
          <w:iCs/>
          <w:color w:val="000000" w:themeColor="text1"/>
        </w:rPr>
        <w:t>UpToDate </w:t>
      </w:r>
      <w:r w:rsidRPr="1A84C4E1">
        <w:rPr>
          <w:rFonts w:eastAsiaTheme="minorEastAsia"/>
          <w:color w:val="000000" w:themeColor="text1"/>
        </w:rPr>
        <w:t>,</w:t>
      </w:r>
      <w:proofErr w:type="gramEnd"/>
      <w:r w:rsidRPr="1A84C4E1">
        <w:rPr>
          <w:rFonts w:eastAsiaTheme="minorEastAsia"/>
          <w:color w:val="000000" w:themeColor="text1"/>
        </w:rPr>
        <w:t xml:space="preserve"> 19 July 2021, https://www-uptodate-com.proxy.hsl.ucdenver.edu/contents/overview-of-the-management-of-osteoporosis-in-postmenopausal-women?search=osteoporosis+treatment&amp;source=search_result&amp;selectedTitle=1~150&amp;usage_type=default&amp;display_rank=1. </w:t>
      </w:r>
    </w:p>
    <w:p w14:paraId="445972ED" w14:textId="155A726E" w:rsidR="00260B17" w:rsidRPr="007C47B2" w:rsidRDefault="1A84C4E1" w:rsidP="1A84C4E1">
      <w:pPr>
        <w:pStyle w:val="ListParagraph"/>
        <w:numPr>
          <w:ilvl w:val="0"/>
          <w:numId w:val="2"/>
        </w:numPr>
        <w:spacing w:before="100" w:beforeAutospacing="1" w:after="100" w:afterAutospacing="1" w:line="240" w:lineRule="auto"/>
        <w:rPr>
          <w:rFonts w:eastAsiaTheme="minorEastAsia"/>
          <w:color w:val="000000"/>
        </w:rPr>
      </w:pPr>
      <w:r w:rsidRPr="1A84C4E1">
        <w:rPr>
          <w:rFonts w:eastAsiaTheme="minorEastAsia"/>
          <w:color w:val="000000" w:themeColor="text1"/>
        </w:rPr>
        <w:t xml:space="preserve">Wells GA, Cranney A, Peterson J, et al. Alendronate for the primary and secondary prevention of osteoporotic fractures in postmenopausal women. The Cochrane database of systematic reviews. 2008;(1):CD001155. </w:t>
      </w:r>
      <w:proofErr w:type="gramStart"/>
      <w:r w:rsidRPr="1A84C4E1">
        <w:rPr>
          <w:rFonts w:eastAsiaTheme="minorEastAsia"/>
          <w:color w:val="000000" w:themeColor="text1"/>
        </w:rPr>
        <w:t>doi:10.1002/14651858.CD001155.pub2</w:t>
      </w:r>
      <w:proofErr w:type="gramEnd"/>
    </w:p>
    <w:sectPr w:rsidR="00260B17" w:rsidRPr="007C47B2" w:rsidSect="000D1E34">
      <w:headerReference w:type="default" r:id="rId13"/>
      <w:footerReference w:type="default" r:id="rId14"/>
      <w:pgSz w:w="12240" w:h="15840"/>
      <w:pgMar w:top="540" w:right="720" w:bottom="36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uest User" w:date="2022-03-01T15:23:00Z" w:initials="GU">
    <w:p w14:paraId="1F74BF9E" w14:textId="3BAB55E8" w:rsidR="1A84C4E1" w:rsidRDefault="1A84C4E1">
      <w:r>
        <w:t xml:space="preserve">Added to the paragraph above. </w:t>
      </w:r>
      <w:r>
        <w:annotationRef/>
      </w:r>
    </w:p>
  </w:comment>
  <w:comment w:id="1" w:author="Guest User" w:date="2022-03-01T15:27:00Z" w:initials="GU">
    <w:p w14:paraId="0D0AB9DB" w14:textId="7FCB57CC" w:rsidR="1A84C4E1" w:rsidRDefault="1A84C4E1">
      <w:r>
        <w:t xml:space="preserve">This GFR is slightly different than the one in the powerpoint. </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F74BF9E" w15:done="0"/>
  <w15:commentEx w15:paraId="0D0AB9D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570F2630" w16cex:dateUtc="2022-03-01T23:23:00Z"/>
  <w16cex:commentExtensible w16cex:durableId="14F3150C" w16cex:dateUtc="2022-03-01T23: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74BF9E" w16cid:durableId="570F2630"/>
  <w16cid:commentId w16cid:paraId="0D0AB9DB" w16cid:durableId="14F3150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4514B" w14:textId="77777777" w:rsidR="005951B9" w:rsidRDefault="005951B9">
      <w:pPr>
        <w:spacing w:after="0" w:line="240" w:lineRule="auto"/>
      </w:pPr>
      <w:r>
        <w:separator/>
      </w:r>
    </w:p>
  </w:endnote>
  <w:endnote w:type="continuationSeparator" w:id="0">
    <w:p w14:paraId="0E990972" w14:textId="77777777" w:rsidR="005951B9" w:rsidRDefault="00595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ource Sans Pro">
    <w:charset w:val="00"/>
    <w:family w:val="swiss"/>
    <w:pitch w:val="variable"/>
    <w:sig w:usb0="600002F7" w:usb1="02000001"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1A84C4E1" w14:paraId="6B84810C" w14:textId="77777777" w:rsidTr="007C47B2">
      <w:tc>
        <w:tcPr>
          <w:tcW w:w="3600" w:type="dxa"/>
        </w:tcPr>
        <w:p w14:paraId="10F67B02" w14:textId="12FBCCD3" w:rsidR="1A84C4E1" w:rsidRDefault="1A84C4E1" w:rsidP="007C47B2">
          <w:pPr>
            <w:pStyle w:val="Header"/>
            <w:ind w:left="-115"/>
          </w:pPr>
        </w:p>
      </w:tc>
      <w:tc>
        <w:tcPr>
          <w:tcW w:w="3600" w:type="dxa"/>
        </w:tcPr>
        <w:p w14:paraId="74B493B5" w14:textId="27493BDE" w:rsidR="1A84C4E1" w:rsidRDefault="1A84C4E1" w:rsidP="007C47B2">
          <w:pPr>
            <w:pStyle w:val="Header"/>
            <w:jc w:val="center"/>
          </w:pPr>
        </w:p>
      </w:tc>
      <w:tc>
        <w:tcPr>
          <w:tcW w:w="3600" w:type="dxa"/>
        </w:tcPr>
        <w:p w14:paraId="0737D626" w14:textId="3F467B16" w:rsidR="1A84C4E1" w:rsidRDefault="1A84C4E1" w:rsidP="007C47B2">
          <w:pPr>
            <w:pStyle w:val="Header"/>
            <w:ind w:right="-115"/>
            <w:jc w:val="right"/>
          </w:pPr>
        </w:p>
      </w:tc>
    </w:tr>
  </w:tbl>
  <w:p w14:paraId="0FDD9849" w14:textId="46655CE2" w:rsidR="1A84C4E1" w:rsidRDefault="1A84C4E1" w:rsidP="007C47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7ACDC" w14:textId="77777777" w:rsidR="005951B9" w:rsidRDefault="005951B9">
      <w:pPr>
        <w:spacing w:after="0" w:line="240" w:lineRule="auto"/>
      </w:pPr>
      <w:r>
        <w:separator/>
      </w:r>
    </w:p>
  </w:footnote>
  <w:footnote w:type="continuationSeparator" w:id="0">
    <w:p w14:paraId="6F420ADD" w14:textId="77777777" w:rsidR="005951B9" w:rsidRDefault="005951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1A84C4E1" w14:paraId="49643C10" w14:textId="77777777" w:rsidTr="007C47B2">
      <w:tc>
        <w:tcPr>
          <w:tcW w:w="3600" w:type="dxa"/>
        </w:tcPr>
        <w:p w14:paraId="076C77E1" w14:textId="4C70EB05" w:rsidR="1A84C4E1" w:rsidRDefault="1A84C4E1" w:rsidP="007C47B2">
          <w:pPr>
            <w:pStyle w:val="Header"/>
            <w:ind w:left="-115"/>
          </w:pPr>
        </w:p>
      </w:tc>
      <w:tc>
        <w:tcPr>
          <w:tcW w:w="3600" w:type="dxa"/>
        </w:tcPr>
        <w:p w14:paraId="65E05B3C" w14:textId="6DAB4180" w:rsidR="1A84C4E1" w:rsidRDefault="1A84C4E1" w:rsidP="007C47B2">
          <w:pPr>
            <w:pStyle w:val="Header"/>
            <w:jc w:val="center"/>
          </w:pPr>
        </w:p>
      </w:tc>
      <w:tc>
        <w:tcPr>
          <w:tcW w:w="3600" w:type="dxa"/>
        </w:tcPr>
        <w:p w14:paraId="21B05B2A" w14:textId="5B5C0744" w:rsidR="1A84C4E1" w:rsidRDefault="1A84C4E1" w:rsidP="007C47B2">
          <w:pPr>
            <w:pStyle w:val="Header"/>
            <w:ind w:right="-115"/>
            <w:jc w:val="right"/>
          </w:pPr>
        </w:p>
      </w:tc>
    </w:tr>
  </w:tbl>
  <w:p w14:paraId="5F26F772" w14:textId="16024DE9" w:rsidR="1A84C4E1" w:rsidRDefault="1A84C4E1" w:rsidP="007C47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34123"/>
    <w:multiLevelType w:val="multilevel"/>
    <w:tmpl w:val="5D645FA0"/>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 w15:restartNumberingAfterBreak="0">
    <w:nsid w:val="0AEA68C2"/>
    <w:multiLevelType w:val="hybridMultilevel"/>
    <w:tmpl w:val="8534A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01F23"/>
    <w:multiLevelType w:val="hybridMultilevel"/>
    <w:tmpl w:val="89EE15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B5164A"/>
    <w:multiLevelType w:val="multilevel"/>
    <w:tmpl w:val="6FEAC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DE34B7"/>
    <w:multiLevelType w:val="hybridMultilevel"/>
    <w:tmpl w:val="ED7AF9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8C6E36"/>
    <w:multiLevelType w:val="hybridMultilevel"/>
    <w:tmpl w:val="BAFCD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05079A"/>
    <w:multiLevelType w:val="multilevel"/>
    <w:tmpl w:val="B3D2F3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212380"/>
    <w:multiLevelType w:val="hybridMultilevel"/>
    <w:tmpl w:val="32FC6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9801F6"/>
    <w:multiLevelType w:val="hybridMultilevel"/>
    <w:tmpl w:val="0DFCF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B71CD6"/>
    <w:multiLevelType w:val="hybridMultilevel"/>
    <w:tmpl w:val="0D28F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BD26AD"/>
    <w:multiLevelType w:val="hybridMultilevel"/>
    <w:tmpl w:val="C8D2C432"/>
    <w:lvl w:ilvl="0" w:tplc="2BFA6B96">
      <w:start w:val="1"/>
      <w:numFmt w:val="bullet"/>
      <w:lvlText w:val=""/>
      <w:lvlJc w:val="left"/>
      <w:pPr>
        <w:ind w:left="720" w:hanging="360"/>
      </w:pPr>
      <w:rPr>
        <w:rFonts w:ascii="Symbol" w:hAnsi="Symbol" w:hint="default"/>
      </w:rPr>
    </w:lvl>
    <w:lvl w:ilvl="1" w:tplc="F52AFE8C">
      <w:start w:val="1"/>
      <w:numFmt w:val="bullet"/>
      <w:lvlText w:val="o"/>
      <w:lvlJc w:val="left"/>
      <w:pPr>
        <w:ind w:left="1440" w:hanging="360"/>
      </w:pPr>
      <w:rPr>
        <w:rFonts w:ascii="Courier New" w:hAnsi="Courier New" w:hint="default"/>
      </w:rPr>
    </w:lvl>
    <w:lvl w:ilvl="2" w:tplc="EC4226DA">
      <w:start w:val="1"/>
      <w:numFmt w:val="bullet"/>
      <w:lvlText w:val=""/>
      <w:lvlJc w:val="left"/>
      <w:pPr>
        <w:ind w:left="2160" w:hanging="360"/>
      </w:pPr>
      <w:rPr>
        <w:rFonts w:ascii="Wingdings" w:hAnsi="Wingdings" w:hint="default"/>
      </w:rPr>
    </w:lvl>
    <w:lvl w:ilvl="3" w:tplc="E52C8BE6">
      <w:start w:val="1"/>
      <w:numFmt w:val="bullet"/>
      <w:lvlText w:val=""/>
      <w:lvlJc w:val="left"/>
      <w:pPr>
        <w:ind w:left="2880" w:hanging="360"/>
      </w:pPr>
      <w:rPr>
        <w:rFonts w:ascii="Symbol" w:hAnsi="Symbol" w:hint="default"/>
      </w:rPr>
    </w:lvl>
    <w:lvl w:ilvl="4" w:tplc="77F21178">
      <w:start w:val="1"/>
      <w:numFmt w:val="bullet"/>
      <w:lvlText w:val="o"/>
      <w:lvlJc w:val="left"/>
      <w:pPr>
        <w:ind w:left="3600" w:hanging="360"/>
      </w:pPr>
      <w:rPr>
        <w:rFonts w:ascii="Courier New" w:hAnsi="Courier New" w:hint="default"/>
      </w:rPr>
    </w:lvl>
    <w:lvl w:ilvl="5" w:tplc="8DF6AC0C">
      <w:start w:val="1"/>
      <w:numFmt w:val="bullet"/>
      <w:lvlText w:val=""/>
      <w:lvlJc w:val="left"/>
      <w:pPr>
        <w:ind w:left="4320" w:hanging="360"/>
      </w:pPr>
      <w:rPr>
        <w:rFonts w:ascii="Wingdings" w:hAnsi="Wingdings" w:hint="default"/>
      </w:rPr>
    </w:lvl>
    <w:lvl w:ilvl="6" w:tplc="ED02F5E8">
      <w:start w:val="1"/>
      <w:numFmt w:val="bullet"/>
      <w:lvlText w:val=""/>
      <w:lvlJc w:val="left"/>
      <w:pPr>
        <w:ind w:left="5040" w:hanging="360"/>
      </w:pPr>
      <w:rPr>
        <w:rFonts w:ascii="Symbol" w:hAnsi="Symbol" w:hint="default"/>
      </w:rPr>
    </w:lvl>
    <w:lvl w:ilvl="7" w:tplc="81D696FA">
      <w:start w:val="1"/>
      <w:numFmt w:val="bullet"/>
      <w:lvlText w:val="o"/>
      <w:lvlJc w:val="left"/>
      <w:pPr>
        <w:ind w:left="5760" w:hanging="360"/>
      </w:pPr>
      <w:rPr>
        <w:rFonts w:ascii="Courier New" w:hAnsi="Courier New" w:hint="default"/>
      </w:rPr>
    </w:lvl>
    <w:lvl w:ilvl="8" w:tplc="84644F70">
      <w:start w:val="1"/>
      <w:numFmt w:val="bullet"/>
      <w:lvlText w:val=""/>
      <w:lvlJc w:val="left"/>
      <w:pPr>
        <w:ind w:left="6480" w:hanging="360"/>
      </w:pPr>
      <w:rPr>
        <w:rFonts w:ascii="Wingdings" w:hAnsi="Wingdings" w:hint="default"/>
      </w:rPr>
    </w:lvl>
  </w:abstractNum>
  <w:abstractNum w:abstractNumId="11" w15:restartNumberingAfterBreak="0">
    <w:nsid w:val="51F3126D"/>
    <w:multiLevelType w:val="hybridMultilevel"/>
    <w:tmpl w:val="B03EC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0B3045"/>
    <w:multiLevelType w:val="multilevel"/>
    <w:tmpl w:val="23AE3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0032865"/>
    <w:multiLevelType w:val="multilevel"/>
    <w:tmpl w:val="80F81A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2B241A"/>
    <w:multiLevelType w:val="hybridMultilevel"/>
    <w:tmpl w:val="7E46B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5C1395"/>
    <w:multiLevelType w:val="hybridMultilevel"/>
    <w:tmpl w:val="7E46B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641309"/>
    <w:multiLevelType w:val="multilevel"/>
    <w:tmpl w:val="E38294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91451F"/>
    <w:multiLevelType w:val="hybridMultilevel"/>
    <w:tmpl w:val="E3E08944"/>
    <w:lvl w:ilvl="0" w:tplc="5F046FE8">
      <w:start w:val="1"/>
      <w:numFmt w:val="bullet"/>
      <w:lvlText w:val=""/>
      <w:lvlJc w:val="left"/>
      <w:pPr>
        <w:ind w:left="720" w:hanging="360"/>
      </w:pPr>
      <w:rPr>
        <w:rFonts w:ascii="Symbol" w:hAnsi="Symbol" w:hint="default"/>
      </w:rPr>
    </w:lvl>
    <w:lvl w:ilvl="1" w:tplc="9E2EC276">
      <w:start w:val="1"/>
      <w:numFmt w:val="bullet"/>
      <w:lvlText w:val="o"/>
      <w:lvlJc w:val="left"/>
      <w:pPr>
        <w:ind w:left="1440" w:hanging="360"/>
      </w:pPr>
      <w:rPr>
        <w:rFonts w:ascii="Courier New" w:hAnsi="Courier New" w:hint="default"/>
      </w:rPr>
    </w:lvl>
    <w:lvl w:ilvl="2" w:tplc="DCF67B5A">
      <w:start w:val="1"/>
      <w:numFmt w:val="bullet"/>
      <w:lvlText w:val=""/>
      <w:lvlJc w:val="left"/>
      <w:pPr>
        <w:ind w:left="2160" w:hanging="360"/>
      </w:pPr>
      <w:rPr>
        <w:rFonts w:ascii="Wingdings" w:hAnsi="Wingdings" w:hint="default"/>
      </w:rPr>
    </w:lvl>
    <w:lvl w:ilvl="3" w:tplc="BDD08264">
      <w:start w:val="1"/>
      <w:numFmt w:val="bullet"/>
      <w:lvlText w:val=""/>
      <w:lvlJc w:val="left"/>
      <w:pPr>
        <w:ind w:left="2880" w:hanging="360"/>
      </w:pPr>
      <w:rPr>
        <w:rFonts w:ascii="Symbol" w:hAnsi="Symbol" w:hint="default"/>
      </w:rPr>
    </w:lvl>
    <w:lvl w:ilvl="4" w:tplc="C464D05C">
      <w:start w:val="1"/>
      <w:numFmt w:val="bullet"/>
      <w:lvlText w:val="o"/>
      <w:lvlJc w:val="left"/>
      <w:pPr>
        <w:ind w:left="3600" w:hanging="360"/>
      </w:pPr>
      <w:rPr>
        <w:rFonts w:ascii="Courier New" w:hAnsi="Courier New" w:hint="default"/>
      </w:rPr>
    </w:lvl>
    <w:lvl w:ilvl="5" w:tplc="DC206058">
      <w:start w:val="1"/>
      <w:numFmt w:val="bullet"/>
      <w:lvlText w:val=""/>
      <w:lvlJc w:val="left"/>
      <w:pPr>
        <w:ind w:left="4320" w:hanging="360"/>
      </w:pPr>
      <w:rPr>
        <w:rFonts w:ascii="Wingdings" w:hAnsi="Wingdings" w:hint="default"/>
      </w:rPr>
    </w:lvl>
    <w:lvl w:ilvl="6" w:tplc="9E5219BE">
      <w:start w:val="1"/>
      <w:numFmt w:val="bullet"/>
      <w:lvlText w:val=""/>
      <w:lvlJc w:val="left"/>
      <w:pPr>
        <w:ind w:left="5040" w:hanging="360"/>
      </w:pPr>
      <w:rPr>
        <w:rFonts w:ascii="Symbol" w:hAnsi="Symbol" w:hint="default"/>
      </w:rPr>
    </w:lvl>
    <w:lvl w:ilvl="7" w:tplc="F266F0A0">
      <w:start w:val="1"/>
      <w:numFmt w:val="bullet"/>
      <w:lvlText w:val="o"/>
      <w:lvlJc w:val="left"/>
      <w:pPr>
        <w:ind w:left="5760" w:hanging="360"/>
      </w:pPr>
      <w:rPr>
        <w:rFonts w:ascii="Courier New" w:hAnsi="Courier New" w:hint="default"/>
      </w:rPr>
    </w:lvl>
    <w:lvl w:ilvl="8" w:tplc="BFBE6500">
      <w:start w:val="1"/>
      <w:numFmt w:val="bullet"/>
      <w:lvlText w:val=""/>
      <w:lvlJc w:val="left"/>
      <w:pPr>
        <w:ind w:left="6480" w:hanging="360"/>
      </w:pPr>
      <w:rPr>
        <w:rFonts w:ascii="Wingdings" w:hAnsi="Wingdings" w:hint="default"/>
      </w:rPr>
    </w:lvl>
  </w:abstractNum>
  <w:abstractNum w:abstractNumId="18" w15:restartNumberingAfterBreak="0">
    <w:nsid w:val="734E461E"/>
    <w:multiLevelType w:val="hybridMultilevel"/>
    <w:tmpl w:val="7E46B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C52058"/>
    <w:multiLevelType w:val="multilevel"/>
    <w:tmpl w:val="1DEE8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CE05B8"/>
    <w:multiLevelType w:val="hybridMultilevel"/>
    <w:tmpl w:val="2B3C125E"/>
    <w:lvl w:ilvl="0" w:tplc="02002AFE">
      <w:start w:val="1"/>
      <w:numFmt w:val="bullet"/>
      <w:lvlText w:val=""/>
      <w:lvlJc w:val="left"/>
      <w:pPr>
        <w:ind w:left="720" w:hanging="360"/>
      </w:pPr>
      <w:rPr>
        <w:rFonts w:ascii="Symbol" w:hAnsi="Symbol" w:hint="default"/>
      </w:rPr>
    </w:lvl>
    <w:lvl w:ilvl="1" w:tplc="D2581196">
      <w:start w:val="1"/>
      <w:numFmt w:val="bullet"/>
      <w:lvlText w:val="o"/>
      <w:lvlJc w:val="left"/>
      <w:pPr>
        <w:ind w:left="1440" w:hanging="360"/>
      </w:pPr>
      <w:rPr>
        <w:rFonts w:ascii="Courier New" w:hAnsi="Courier New" w:hint="default"/>
      </w:rPr>
    </w:lvl>
    <w:lvl w:ilvl="2" w:tplc="16669BBE">
      <w:start w:val="1"/>
      <w:numFmt w:val="bullet"/>
      <w:lvlText w:val=""/>
      <w:lvlJc w:val="left"/>
      <w:pPr>
        <w:ind w:left="2160" w:hanging="360"/>
      </w:pPr>
      <w:rPr>
        <w:rFonts w:ascii="Wingdings" w:hAnsi="Wingdings" w:hint="default"/>
      </w:rPr>
    </w:lvl>
    <w:lvl w:ilvl="3" w:tplc="77EE7008">
      <w:start w:val="1"/>
      <w:numFmt w:val="bullet"/>
      <w:lvlText w:val=""/>
      <w:lvlJc w:val="left"/>
      <w:pPr>
        <w:ind w:left="2880" w:hanging="360"/>
      </w:pPr>
      <w:rPr>
        <w:rFonts w:ascii="Symbol" w:hAnsi="Symbol" w:hint="default"/>
      </w:rPr>
    </w:lvl>
    <w:lvl w:ilvl="4" w:tplc="59CEB256">
      <w:start w:val="1"/>
      <w:numFmt w:val="bullet"/>
      <w:lvlText w:val="o"/>
      <w:lvlJc w:val="left"/>
      <w:pPr>
        <w:ind w:left="3600" w:hanging="360"/>
      </w:pPr>
      <w:rPr>
        <w:rFonts w:ascii="Courier New" w:hAnsi="Courier New" w:hint="default"/>
      </w:rPr>
    </w:lvl>
    <w:lvl w:ilvl="5" w:tplc="32E4A252">
      <w:start w:val="1"/>
      <w:numFmt w:val="bullet"/>
      <w:lvlText w:val=""/>
      <w:lvlJc w:val="left"/>
      <w:pPr>
        <w:ind w:left="4320" w:hanging="360"/>
      </w:pPr>
      <w:rPr>
        <w:rFonts w:ascii="Wingdings" w:hAnsi="Wingdings" w:hint="default"/>
      </w:rPr>
    </w:lvl>
    <w:lvl w:ilvl="6" w:tplc="A2CE42C2">
      <w:start w:val="1"/>
      <w:numFmt w:val="bullet"/>
      <w:lvlText w:val=""/>
      <w:lvlJc w:val="left"/>
      <w:pPr>
        <w:ind w:left="5040" w:hanging="360"/>
      </w:pPr>
      <w:rPr>
        <w:rFonts w:ascii="Symbol" w:hAnsi="Symbol" w:hint="default"/>
      </w:rPr>
    </w:lvl>
    <w:lvl w:ilvl="7" w:tplc="60565870">
      <w:start w:val="1"/>
      <w:numFmt w:val="bullet"/>
      <w:lvlText w:val="o"/>
      <w:lvlJc w:val="left"/>
      <w:pPr>
        <w:ind w:left="5760" w:hanging="360"/>
      </w:pPr>
      <w:rPr>
        <w:rFonts w:ascii="Courier New" w:hAnsi="Courier New" w:hint="default"/>
      </w:rPr>
    </w:lvl>
    <w:lvl w:ilvl="8" w:tplc="592C631E">
      <w:start w:val="1"/>
      <w:numFmt w:val="bullet"/>
      <w:lvlText w:val=""/>
      <w:lvlJc w:val="left"/>
      <w:pPr>
        <w:ind w:left="6480" w:hanging="360"/>
      </w:pPr>
      <w:rPr>
        <w:rFonts w:ascii="Wingdings" w:hAnsi="Wingdings" w:hint="default"/>
      </w:rPr>
    </w:lvl>
  </w:abstractNum>
  <w:abstractNum w:abstractNumId="21" w15:restartNumberingAfterBreak="0">
    <w:nsid w:val="7D073BF9"/>
    <w:multiLevelType w:val="multilevel"/>
    <w:tmpl w:val="ED5ED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20"/>
  </w:num>
  <w:num w:numId="4">
    <w:abstractNumId w:val="17"/>
  </w:num>
  <w:num w:numId="5">
    <w:abstractNumId w:val="3"/>
  </w:num>
  <w:num w:numId="6">
    <w:abstractNumId w:val="12"/>
  </w:num>
  <w:num w:numId="7">
    <w:abstractNumId w:val="7"/>
  </w:num>
  <w:num w:numId="8">
    <w:abstractNumId w:val="8"/>
  </w:num>
  <w:num w:numId="9">
    <w:abstractNumId w:val="1"/>
  </w:num>
  <w:num w:numId="10">
    <w:abstractNumId w:val="5"/>
  </w:num>
  <w:num w:numId="11">
    <w:abstractNumId w:val="18"/>
  </w:num>
  <w:num w:numId="12">
    <w:abstractNumId w:val="13"/>
  </w:num>
  <w:num w:numId="13">
    <w:abstractNumId w:val="19"/>
  </w:num>
  <w:num w:numId="14">
    <w:abstractNumId w:val="21"/>
  </w:num>
  <w:num w:numId="15">
    <w:abstractNumId w:val="6"/>
  </w:num>
  <w:num w:numId="16">
    <w:abstractNumId w:val="14"/>
  </w:num>
  <w:num w:numId="17">
    <w:abstractNumId w:val="15"/>
  </w:num>
  <w:num w:numId="18">
    <w:abstractNumId w:val="11"/>
  </w:num>
  <w:num w:numId="19">
    <w:abstractNumId w:val="4"/>
  </w:num>
  <w:num w:numId="20">
    <w:abstractNumId w:val="9"/>
  </w:num>
  <w:num w:numId="21">
    <w:abstractNumId w:val="2"/>
  </w:num>
  <w:num w:numId="22">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uest User">
    <w15:presenceInfo w15:providerId="AD" w15:userId="S::urn:spo:anon#6591f4c8a617542bfc2f88bd5001fbdf045d38be7a4f9d6851b435671b35cd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3DA"/>
    <w:rsid w:val="00012B63"/>
    <w:rsid w:val="0006407A"/>
    <w:rsid w:val="000B22DE"/>
    <w:rsid w:val="000B22F1"/>
    <w:rsid w:val="000C029D"/>
    <w:rsid w:val="000C6350"/>
    <w:rsid w:val="000D1E34"/>
    <w:rsid w:val="000E2908"/>
    <w:rsid w:val="000E40F3"/>
    <w:rsid w:val="000F4CF4"/>
    <w:rsid w:val="000F4FFF"/>
    <w:rsid w:val="00151D33"/>
    <w:rsid w:val="00195450"/>
    <w:rsid w:val="001E075C"/>
    <w:rsid w:val="00232387"/>
    <w:rsid w:val="00260B17"/>
    <w:rsid w:val="00267169"/>
    <w:rsid w:val="00280FA1"/>
    <w:rsid w:val="002A54E0"/>
    <w:rsid w:val="002D2A12"/>
    <w:rsid w:val="00307A15"/>
    <w:rsid w:val="00311FF6"/>
    <w:rsid w:val="0031602C"/>
    <w:rsid w:val="00345106"/>
    <w:rsid w:val="00371029"/>
    <w:rsid w:val="003B320E"/>
    <w:rsid w:val="003E27D0"/>
    <w:rsid w:val="00427BC5"/>
    <w:rsid w:val="004553FF"/>
    <w:rsid w:val="00467204"/>
    <w:rsid w:val="00484B66"/>
    <w:rsid w:val="00485C08"/>
    <w:rsid w:val="00491E8C"/>
    <w:rsid w:val="004A004D"/>
    <w:rsid w:val="004A1E2A"/>
    <w:rsid w:val="004C448C"/>
    <w:rsid w:val="004C712E"/>
    <w:rsid w:val="004F032E"/>
    <w:rsid w:val="004F6B09"/>
    <w:rsid w:val="004F6F8E"/>
    <w:rsid w:val="0050237A"/>
    <w:rsid w:val="00532C0A"/>
    <w:rsid w:val="005951B9"/>
    <w:rsid w:val="00595CB3"/>
    <w:rsid w:val="005C29D6"/>
    <w:rsid w:val="0060144B"/>
    <w:rsid w:val="00647680"/>
    <w:rsid w:val="00661590"/>
    <w:rsid w:val="006774A7"/>
    <w:rsid w:val="006B4AEF"/>
    <w:rsid w:val="006C1552"/>
    <w:rsid w:val="00721810"/>
    <w:rsid w:val="00725A96"/>
    <w:rsid w:val="00740C3D"/>
    <w:rsid w:val="007C47B2"/>
    <w:rsid w:val="007C682A"/>
    <w:rsid w:val="007D6E8A"/>
    <w:rsid w:val="007E7684"/>
    <w:rsid w:val="00814715"/>
    <w:rsid w:val="00877F7C"/>
    <w:rsid w:val="00896D8B"/>
    <w:rsid w:val="008A0561"/>
    <w:rsid w:val="008A6F40"/>
    <w:rsid w:val="008E3D4C"/>
    <w:rsid w:val="009120B2"/>
    <w:rsid w:val="00934129"/>
    <w:rsid w:val="00967B78"/>
    <w:rsid w:val="00970403"/>
    <w:rsid w:val="0097257A"/>
    <w:rsid w:val="0098665B"/>
    <w:rsid w:val="009B32BA"/>
    <w:rsid w:val="009C19DC"/>
    <w:rsid w:val="009F5800"/>
    <w:rsid w:val="00A06517"/>
    <w:rsid w:val="00A35510"/>
    <w:rsid w:val="00A65EE0"/>
    <w:rsid w:val="00A75C73"/>
    <w:rsid w:val="00A819C7"/>
    <w:rsid w:val="00B14030"/>
    <w:rsid w:val="00B26DBE"/>
    <w:rsid w:val="00B36601"/>
    <w:rsid w:val="00B43C26"/>
    <w:rsid w:val="00B8145A"/>
    <w:rsid w:val="00B82946"/>
    <w:rsid w:val="00B85F4C"/>
    <w:rsid w:val="00BB2495"/>
    <w:rsid w:val="00BE73DA"/>
    <w:rsid w:val="00C4101B"/>
    <w:rsid w:val="00C44851"/>
    <w:rsid w:val="00C55004"/>
    <w:rsid w:val="00CA74F4"/>
    <w:rsid w:val="00D4022C"/>
    <w:rsid w:val="00D8562F"/>
    <w:rsid w:val="00D92783"/>
    <w:rsid w:val="00D92A6F"/>
    <w:rsid w:val="00D95DF9"/>
    <w:rsid w:val="00DA6BB8"/>
    <w:rsid w:val="00DB2D94"/>
    <w:rsid w:val="00DC2350"/>
    <w:rsid w:val="00DE78D1"/>
    <w:rsid w:val="00DF7071"/>
    <w:rsid w:val="00E1755F"/>
    <w:rsid w:val="00E41C1A"/>
    <w:rsid w:val="00EC5ADF"/>
    <w:rsid w:val="00ED5753"/>
    <w:rsid w:val="00EE5E96"/>
    <w:rsid w:val="00F10DC5"/>
    <w:rsid w:val="00F14B87"/>
    <w:rsid w:val="00F70C4D"/>
    <w:rsid w:val="00F75BA1"/>
    <w:rsid w:val="00FD38F6"/>
    <w:rsid w:val="00FF172E"/>
    <w:rsid w:val="1A84C4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250B7"/>
  <w15:chartTrackingRefBased/>
  <w15:docId w15:val="{2E4E4C9E-BE7C-4B23-9C5A-6283E2FF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BE73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E73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73D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E73D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E73D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E73DA"/>
    <w:rPr>
      <w:color w:val="0000FF"/>
      <w:u w:val="single"/>
    </w:rPr>
  </w:style>
  <w:style w:type="character" w:styleId="Strong">
    <w:name w:val="Strong"/>
    <w:basedOn w:val="DefaultParagraphFont"/>
    <w:uiPriority w:val="22"/>
    <w:qFormat/>
    <w:rsid w:val="00BE73DA"/>
    <w:rPr>
      <w:b/>
      <w:bCs/>
    </w:rPr>
  </w:style>
  <w:style w:type="paragraph" w:customStyle="1" w:styleId="embeddownload">
    <w:name w:val="embed_download"/>
    <w:basedOn w:val="Normal"/>
    <w:rsid w:val="00BE73D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E73DA"/>
    <w:pPr>
      <w:ind w:left="720"/>
      <w:contextualSpacing/>
    </w:pPr>
  </w:style>
  <w:style w:type="character" w:customStyle="1" w:styleId="apple-converted-space">
    <w:name w:val="apple-converted-space"/>
    <w:basedOn w:val="DefaultParagraphFont"/>
    <w:rsid w:val="004F6F8E"/>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A355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6892">
      <w:bodyDiv w:val="1"/>
      <w:marLeft w:val="0"/>
      <w:marRight w:val="0"/>
      <w:marTop w:val="0"/>
      <w:marBottom w:val="0"/>
      <w:divBdr>
        <w:top w:val="none" w:sz="0" w:space="0" w:color="auto"/>
        <w:left w:val="none" w:sz="0" w:space="0" w:color="auto"/>
        <w:bottom w:val="none" w:sz="0" w:space="0" w:color="auto"/>
        <w:right w:val="none" w:sz="0" w:space="0" w:color="auto"/>
      </w:divBdr>
    </w:div>
    <w:div w:id="34934981">
      <w:bodyDiv w:val="1"/>
      <w:marLeft w:val="0"/>
      <w:marRight w:val="0"/>
      <w:marTop w:val="0"/>
      <w:marBottom w:val="0"/>
      <w:divBdr>
        <w:top w:val="none" w:sz="0" w:space="0" w:color="auto"/>
        <w:left w:val="none" w:sz="0" w:space="0" w:color="auto"/>
        <w:bottom w:val="none" w:sz="0" w:space="0" w:color="auto"/>
        <w:right w:val="none" w:sz="0" w:space="0" w:color="auto"/>
      </w:divBdr>
      <w:divsChild>
        <w:div w:id="1088236518">
          <w:marLeft w:val="0"/>
          <w:marRight w:val="0"/>
          <w:marTop w:val="0"/>
          <w:marBottom w:val="0"/>
          <w:divBdr>
            <w:top w:val="none" w:sz="0" w:space="0" w:color="auto"/>
            <w:left w:val="none" w:sz="0" w:space="0" w:color="auto"/>
            <w:bottom w:val="none" w:sz="0" w:space="0" w:color="auto"/>
            <w:right w:val="none" w:sz="0" w:space="0" w:color="auto"/>
          </w:divBdr>
          <w:divsChild>
            <w:div w:id="365104881">
              <w:marLeft w:val="0"/>
              <w:marRight w:val="0"/>
              <w:marTop w:val="0"/>
              <w:marBottom w:val="0"/>
              <w:divBdr>
                <w:top w:val="none" w:sz="0" w:space="0" w:color="auto"/>
                <w:left w:val="none" w:sz="0" w:space="0" w:color="auto"/>
                <w:bottom w:val="none" w:sz="0" w:space="0" w:color="auto"/>
                <w:right w:val="none" w:sz="0" w:space="0" w:color="auto"/>
              </w:divBdr>
              <w:divsChild>
                <w:div w:id="175386244">
                  <w:marLeft w:val="0"/>
                  <w:marRight w:val="0"/>
                  <w:marTop w:val="0"/>
                  <w:marBottom w:val="0"/>
                  <w:divBdr>
                    <w:top w:val="none" w:sz="0" w:space="0" w:color="auto"/>
                    <w:left w:val="none" w:sz="0" w:space="0" w:color="auto"/>
                    <w:bottom w:val="none" w:sz="0" w:space="0" w:color="auto"/>
                    <w:right w:val="none" w:sz="0" w:space="0" w:color="auto"/>
                  </w:divBdr>
                  <w:divsChild>
                    <w:div w:id="550969617">
                      <w:marLeft w:val="0"/>
                      <w:marRight w:val="0"/>
                      <w:marTop w:val="0"/>
                      <w:marBottom w:val="0"/>
                      <w:divBdr>
                        <w:top w:val="none" w:sz="0" w:space="0" w:color="auto"/>
                        <w:left w:val="none" w:sz="0" w:space="0" w:color="auto"/>
                        <w:bottom w:val="none" w:sz="0" w:space="0" w:color="auto"/>
                        <w:right w:val="none" w:sz="0" w:space="0" w:color="auto"/>
                      </w:divBdr>
                      <w:divsChild>
                        <w:div w:id="586235058">
                          <w:marLeft w:val="0"/>
                          <w:marRight w:val="0"/>
                          <w:marTop w:val="0"/>
                          <w:marBottom w:val="0"/>
                          <w:divBdr>
                            <w:top w:val="none" w:sz="0" w:space="0" w:color="auto"/>
                            <w:left w:val="none" w:sz="0" w:space="0" w:color="auto"/>
                            <w:bottom w:val="none" w:sz="0" w:space="0" w:color="auto"/>
                            <w:right w:val="none" w:sz="0" w:space="0" w:color="auto"/>
                          </w:divBdr>
                          <w:divsChild>
                            <w:div w:id="1290477291">
                              <w:marLeft w:val="0"/>
                              <w:marRight w:val="0"/>
                              <w:marTop w:val="0"/>
                              <w:marBottom w:val="0"/>
                              <w:divBdr>
                                <w:top w:val="none" w:sz="0" w:space="0" w:color="auto"/>
                                <w:left w:val="none" w:sz="0" w:space="0" w:color="auto"/>
                                <w:bottom w:val="none" w:sz="0" w:space="0" w:color="auto"/>
                                <w:right w:val="none" w:sz="0" w:space="0" w:color="auto"/>
                              </w:divBdr>
                              <w:divsChild>
                                <w:div w:id="1497458720">
                                  <w:marLeft w:val="0"/>
                                  <w:marRight w:val="0"/>
                                  <w:marTop w:val="0"/>
                                  <w:marBottom w:val="0"/>
                                  <w:divBdr>
                                    <w:top w:val="none" w:sz="0" w:space="0" w:color="auto"/>
                                    <w:left w:val="none" w:sz="0" w:space="0" w:color="auto"/>
                                    <w:bottom w:val="none" w:sz="0" w:space="0" w:color="auto"/>
                                    <w:right w:val="none" w:sz="0" w:space="0" w:color="auto"/>
                                  </w:divBdr>
                                  <w:divsChild>
                                    <w:div w:id="45035916">
                                      <w:marLeft w:val="0"/>
                                      <w:marRight w:val="0"/>
                                      <w:marTop w:val="0"/>
                                      <w:marBottom w:val="0"/>
                                      <w:divBdr>
                                        <w:top w:val="none" w:sz="0" w:space="0" w:color="auto"/>
                                        <w:left w:val="none" w:sz="0" w:space="0" w:color="auto"/>
                                        <w:bottom w:val="none" w:sz="0" w:space="0" w:color="auto"/>
                                        <w:right w:val="none" w:sz="0" w:space="0" w:color="auto"/>
                                      </w:divBdr>
                                      <w:divsChild>
                                        <w:div w:id="11561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19582">
                                  <w:marLeft w:val="0"/>
                                  <w:marRight w:val="0"/>
                                  <w:marTop w:val="0"/>
                                  <w:marBottom w:val="450"/>
                                  <w:divBdr>
                                    <w:top w:val="none" w:sz="0" w:space="0" w:color="auto"/>
                                    <w:left w:val="none" w:sz="0" w:space="0" w:color="auto"/>
                                    <w:bottom w:val="none" w:sz="0" w:space="0" w:color="auto"/>
                                    <w:right w:val="none" w:sz="0" w:space="0" w:color="auto"/>
                                  </w:divBdr>
                                  <w:divsChild>
                                    <w:div w:id="1254707185">
                                      <w:marLeft w:val="0"/>
                                      <w:marRight w:val="0"/>
                                      <w:marTop w:val="0"/>
                                      <w:marBottom w:val="0"/>
                                      <w:divBdr>
                                        <w:top w:val="none" w:sz="0" w:space="0" w:color="auto"/>
                                        <w:left w:val="none" w:sz="0" w:space="0" w:color="auto"/>
                                        <w:bottom w:val="none" w:sz="0" w:space="0" w:color="auto"/>
                                        <w:right w:val="none" w:sz="0" w:space="0" w:color="auto"/>
                                      </w:divBdr>
                                    </w:div>
                                  </w:divsChild>
                                </w:div>
                                <w:div w:id="337511850">
                                  <w:marLeft w:val="0"/>
                                  <w:marRight w:val="0"/>
                                  <w:marTop w:val="0"/>
                                  <w:marBottom w:val="450"/>
                                  <w:divBdr>
                                    <w:top w:val="none" w:sz="0" w:space="0" w:color="auto"/>
                                    <w:left w:val="none" w:sz="0" w:space="0" w:color="auto"/>
                                    <w:bottom w:val="none" w:sz="0" w:space="0" w:color="auto"/>
                                    <w:right w:val="none" w:sz="0" w:space="0" w:color="auto"/>
                                  </w:divBdr>
                                  <w:divsChild>
                                    <w:div w:id="451553787">
                                      <w:marLeft w:val="0"/>
                                      <w:marRight w:val="0"/>
                                      <w:marTop w:val="0"/>
                                      <w:marBottom w:val="0"/>
                                      <w:divBdr>
                                        <w:top w:val="none" w:sz="0" w:space="0" w:color="auto"/>
                                        <w:left w:val="none" w:sz="0" w:space="0" w:color="auto"/>
                                        <w:bottom w:val="none" w:sz="0" w:space="0" w:color="auto"/>
                                        <w:right w:val="none" w:sz="0" w:space="0" w:color="auto"/>
                                      </w:divBdr>
                                      <w:divsChild>
                                        <w:div w:id="42377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880871">
                                  <w:marLeft w:val="0"/>
                                  <w:marRight w:val="0"/>
                                  <w:marTop w:val="0"/>
                                  <w:marBottom w:val="450"/>
                                  <w:divBdr>
                                    <w:top w:val="none" w:sz="0" w:space="0" w:color="auto"/>
                                    <w:left w:val="none" w:sz="0" w:space="0" w:color="auto"/>
                                    <w:bottom w:val="none" w:sz="0" w:space="0" w:color="auto"/>
                                    <w:right w:val="none" w:sz="0" w:space="0" w:color="auto"/>
                                  </w:divBdr>
                                  <w:divsChild>
                                    <w:div w:id="1498306866">
                                      <w:marLeft w:val="0"/>
                                      <w:marRight w:val="0"/>
                                      <w:marTop w:val="0"/>
                                      <w:marBottom w:val="0"/>
                                      <w:divBdr>
                                        <w:top w:val="none" w:sz="0" w:space="0" w:color="auto"/>
                                        <w:left w:val="none" w:sz="0" w:space="0" w:color="auto"/>
                                        <w:bottom w:val="none" w:sz="0" w:space="0" w:color="auto"/>
                                        <w:right w:val="none" w:sz="0" w:space="0" w:color="auto"/>
                                      </w:divBdr>
                                    </w:div>
                                  </w:divsChild>
                                </w:div>
                                <w:div w:id="387923564">
                                  <w:marLeft w:val="0"/>
                                  <w:marRight w:val="0"/>
                                  <w:marTop w:val="0"/>
                                  <w:marBottom w:val="450"/>
                                  <w:divBdr>
                                    <w:top w:val="none" w:sz="0" w:space="0" w:color="auto"/>
                                    <w:left w:val="none" w:sz="0" w:space="0" w:color="auto"/>
                                    <w:bottom w:val="none" w:sz="0" w:space="0" w:color="auto"/>
                                    <w:right w:val="none" w:sz="0" w:space="0" w:color="auto"/>
                                  </w:divBdr>
                                  <w:divsChild>
                                    <w:div w:id="166986512">
                                      <w:marLeft w:val="0"/>
                                      <w:marRight w:val="0"/>
                                      <w:marTop w:val="0"/>
                                      <w:marBottom w:val="0"/>
                                      <w:divBdr>
                                        <w:top w:val="none" w:sz="0" w:space="0" w:color="auto"/>
                                        <w:left w:val="none" w:sz="0" w:space="0" w:color="auto"/>
                                        <w:bottom w:val="none" w:sz="0" w:space="0" w:color="auto"/>
                                        <w:right w:val="none" w:sz="0" w:space="0" w:color="auto"/>
                                      </w:divBdr>
                                      <w:divsChild>
                                        <w:div w:id="185356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432026">
                                  <w:marLeft w:val="0"/>
                                  <w:marRight w:val="0"/>
                                  <w:marTop w:val="0"/>
                                  <w:marBottom w:val="450"/>
                                  <w:divBdr>
                                    <w:top w:val="none" w:sz="0" w:space="0" w:color="auto"/>
                                    <w:left w:val="none" w:sz="0" w:space="0" w:color="auto"/>
                                    <w:bottom w:val="none" w:sz="0" w:space="0" w:color="auto"/>
                                    <w:right w:val="none" w:sz="0" w:space="0" w:color="auto"/>
                                  </w:divBdr>
                                  <w:divsChild>
                                    <w:div w:id="1168254257">
                                      <w:marLeft w:val="0"/>
                                      <w:marRight w:val="0"/>
                                      <w:marTop w:val="0"/>
                                      <w:marBottom w:val="0"/>
                                      <w:divBdr>
                                        <w:top w:val="none" w:sz="0" w:space="0" w:color="auto"/>
                                        <w:left w:val="none" w:sz="0" w:space="0" w:color="auto"/>
                                        <w:bottom w:val="none" w:sz="0" w:space="0" w:color="auto"/>
                                        <w:right w:val="none" w:sz="0" w:space="0" w:color="auto"/>
                                      </w:divBdr>
                                    </w:div>
                                  </w:divsChild>
                                </w:div>
                                <w:div w:id="699597951">
                                  <w:marLeft w:val="0"/>
                                  <w:marRight w:val="0"/>
                                  <w:marTop w:val="0"/>
                                  <w:marBottom w:val="450"/>
                                  <w:divBdr>
                                    <w:top w:val="none" w:sz="0" w:space="0" w:color="auto"/>
                                    <w:left w:val="none" w:sz="0" w:space="0" w:color="auto"/>
                                    <w:bottom w:val="none" w:sz="0" w:space="0" w:color="auto"/>
                                    <w:right w:val="none" w:sz="0" w:space="0" w:color="auto"/>
                                  </w:divBdr>
                                  <w:divsChild>
                                    <w:div w:id="1042560348">
                                      <w:marLeft w:val="0"/>
                                      <w:marRight w:val="0"/>
                                      <w:marTop w:val="0"/>
                                      <w:marBottom w:val="0"/>
                                      <w:divBdr>
                                        <w:top w:val="none" w:sz="0" w:space="0" w:color="auto"/>
                                        <w:left w:val="none" w:sz="0" w:space="0" w:color="auto"/>
                                        <w:bottom w:val="none" w:sz="0" w:space="0" w:color="auto"/>
                                        <w:right w:val="none" w:sz="0" w:space="0" w:color="auto"/>
                                      </w:divBdr>
                                      <w:divsChild>
                                        <w:div w:id="119427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756574">
                                  <w:marLeft w:val="0"/>
                                  <w:marRight w:val="0"/>
                                  <w:marTop w:val="0"/>
                                  <w:marBottom w:val="0"/>
                                  <w:divBdr>
                                    <w:top w:val="none" w:sz="0" w:space="0" w:color="auto"/>
                                    <w:left w:val="none" w:sz="0" w:space="0" w:color="auto"/>
                                    <w:bottom w:val="none" w:sz="0" w:space="0" w:color="auto"/>
                                    <w:right w:val="none" w:sz="0" w:space="0" w:color="auto"/>
                                  </w:divBdr>
                                  <w:divsChild>
                                    <w:div w:id="30057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6825462">
          <w:marLeft w:val="0"/>
          <w:marRight w:val="0"/>
          <w:marTop w:val="0"/>
          <w:marBottom w:val="0"/>
          <w:divBdr>
            <w:top w:val="none" w:sz="0" w:space="0" w:color="auto"/>
            <w:left w:val="none" w:sz="0" w:space="0" w:color="auto"/>
            <w:bottom w:val="none" w:sz="0" w:space="0" w:color="auto"/>
            <w:right w:val="none" w:sz="0" w:space="0" w:color="auto"/>
          </w:divBdr>
          <w:divsChild>
            <w:div w:id="238027660">
              <w:marLeft w:val="0"/>
              <w:marRight w:val="0"/>
              <w:marTop w:val="0"/>
              <w:marBottom w:val="0"/>
              <w:divBdr>
                <w:top w:val="none" w:sz="0" w:space="0" w:color="auto"/>
                <w:left w:val="none" w:sz="0" w:space="0" w:color="auto"/>
                <w:bottom w:val="none" w:sz="0" w:space="0" w:color="auto"/>
                <w:right w:val="none" w:sz="0" w:space="0" w:color="auto"/>
              </w:divBdr>
              <w:divsChild>
                <w:div w:id="1684430394">
                  <w:marLeft w:val="0"/>
                  <w:marRight w:val="0"/>
                  <w:marTop w:val="0"/>
                  <w:marBottom w:val="0"/>
                  <w:divBdr>
                    <w:top w:val="none" w:sz="0" w:space="0" w:color="auto"/>
                    <w:left w:val="none" w:sz="0" w:space="0" w:color="auto"/>
                    <w:bottom w:val="none" w:sz="0" w:space="0" w:color="auto"/>
                    <w:right w:val="none" w:sz="0" w:space="0" w:color="auto"/>
                  </w:divBdr>
                  <w:divsChild>
                    <w:div w:id="220361068">
                      <w:marLeft w:val="0"/>
                      <w:marRight w:val="0"/>
                      <w:marTop w:val="0"/>
                      <w:marBottom w:val="0"/>
                      <w:divBdr>
                        <w:top w:val="none" w:sz="0" w:space="0" w:color="auto"/>
                        <w:left w:val="none" w:sz="0" w:space="0" w:color="auto"/>
                        <w:bottom w:val="none" w:sz="0" w:space="0" w:color="auto"/>
                        <w:right w:val="none" w:sz="0" w:space="0" w:color="auto"/>
                      </w:divBdr>
                      <w:divsChild>
                        <w:div w:id="463235523">
                          <w:marLeft w:val="0"/>
                          <w:marRight w:val="0"/>
                          <w:marTop w:val="0"/>
                          <w:marBottom w:val="0"/>
                          <w:divBdr>
                            <w:top w:val="none" w:sz="0" w:space="0" w:color="auto"/>
                            <w:left w:val="none" w:sz="0" w:space="0" w:color="auto"/>
                            <w:bottom w:val="none" w:sz="0" w:space="0" w:color="auto"/>
                            <w:right w:val="none" w:sz="0" w:space="0" w:color="auto"/>
                          </w:divBdr>
                          <w:divsChild>
                            <w:div w:id="1495294365">
                              <w:marLeft w:val="0"/>
                              <w:marRight w:val="0"/>
                              <w:marTop w:val="0"/>
                              <w:marBottom w:val="450"/>
                              <w:divBdr>
                                <w:top w:val="none" w:sz="0" w:space="0" w:color="auto"/>
                                <w:left w:val="none" w:sz="0" w:space="0" w:color="auto"/>
                                <w:bottom w:val="none" w:sz="0" w:space="0" w:color="auto"/>
                                <w:right w:val="none" w:sz="0" w:space="0" w:color="auto"/>
                              </w:divBdr>
                              <w:divsChild>
                                <w:div w:id="857040115">
                                  <w:marLeft w:val="0"/>
                                  <w:marRight w:val="0"/>
                                  <w:marTop w:val="0"/>
                                  <w:marBottom w:val="0"/>
                                  <w:divBdr>
                                    <w:top w:val="none" w:sz="0" w:space="0" w:color="auto"/>
                                    <w:left w:val="none" w:sz="0" w:space="0" w:color="auto"/>
                                    <w:bottom w:val="none" w:sz="0" w:space="0" w:color="auto"/>
                                    <w:right w:val="none" w:sz="0" w:space="0" w:color="auto"/>
                                  </w:divBdr>
                                </w:div>
                              </w:divsChild>
                            </w:div>
                            <w:div w:id="2051875959">
                              <w:marLeft w:val="0"/>
                              <w:marRight w:val="0"/>
                              <w:marTop w:val="0"/>
                              <w:marBottom w:val="450"/>
                              <w:divBdr>
                                <w:top w:val="none" w:sz="0" w:space="0" w:color="auto"/>
                                <w:left w:val="none" w:sz="0" w:space="0" w:color="auto"/>
                                <w:bottom w:val="none" w:sz="0" w:space="0" w:color="auto"/>
                                <w:right w:val="none" w:sz="0" w:space="0" w:color="auto"/>
                              </w:divBdr>
                              <w:divsChild>
                                <w:div w:id="1113287480">
                                  <w:marLeft w:val="0"/>
                                  <w:marRight w:val="0"/>
                                  <w:marTop w:val="0"/>
                                  <w:marBottom w:val="0"/>
                                  <w:divBdr>
                                    <w:top w:val="none" w:sz="0" w:space="0" w:color="auto"/>
                                    <w:left w:val="none" w:sz="0" w:space="0" w:color="auto"/>
                                    <w:bottom w:val="none" w:sz="0" w:space="0" w:color="auto"/>
                                    <w:right w:val="none" w:sz="0" w:space="0" w:color="auto"/>
                                  </w:divBdr>
                                  <w:divsChild>
                                    <w:div w:id="193805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56410">
                              <w:marLeft w:val="0"/>
                              <w:marRight w:val="0"/>
                              <w:marTop w:val="0"/>
                              <w:marBottom w:val="0"/>
                              <w:divBdr>
                                <w:top w:val="none" w:sz="0" w:space="0" w:color="auto"/>
                                <w:left w:val="none" w:sz="0" w:space="0" w:color="auto"/>
                                <w:bottom w:val="none" w:sz="0" w:space="0" w:color="auto"/>
                                <w:right w:val="none" w:sz="0" w:space="0" w:color="auto"/>
                              </w:divBdr>
                              <w:divsChild>
                                <w:div w:id="13775322">
                                  <w:marLeft w:val="0"/>
                                  <w:marRight w:val="0"/>
                                  <w:marTop w:val="0"/>
                                  <w:marBottom w:val="0"/>
                                  <w:divBdr>
                                    <w:top w:val="none" w:sz="0" w:space="0" w:color="auto"/>
                                    <w:left w:val="none" w:sz="0" w:space="0" w:color="auto"/>
                                    <w:bottom w:val="none" w:sz="0" w:space="0" w:color="auto"/>
                                    <w:right w:val="none" w:sz="0" w:space="0" w:color="auto"/>
                                  </w:divBdr>
                                  <w:divsChild>
                                    <w:div w:id="569927957">
                                      <w:marLeft w:val="0"/>
                                      <w:marRight w:val="0"/>
                                      <w:marTop w:val="0"/>
                                      <w:marBottom w:val="0"/>
                                      <w:divBdr>
                                        <w:top w:val="none" w:sz="0" w:space="0" w:color="auto"/>
                                        <w:left w:val="none" w:sz="0" w:space="0" w:color="auto"/>
                                        <w:bottom w:val="none" w:sz="0" w:space="0" w:color="auto"/>
                                        <w:right w:val="none" w:sz="0" w:space="0" w:color="auto"/>
                                      </w:divBdr>
                                      <w:divsChild>
                                        <w:div w:id="185430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6402987">
          <w:marLeft w:val="0"/>
          <w:marRight w:val="0"/>
          <w:marTop w:val="0"/>
          <w:marBottom w:val="0"/>
          <w:divBdr>
            <w:top w:val="none" w:sz="0" w:space="0" w:color="auto"/>
            <w:left w:val="none" w:sz="0" w:space="0" w:color="auto"/>
            <w:bottom w:val="none" w:sz="0" w:space="0" w:color="auto"/>
            <w:right w:val="none" w:sz="0" w:space="0" w:color="auto"/>
          </w:divBdr>
          <w:divsChild>
            <w:div w:id="1291595294">
              <w:marLeft w:val="0"/>
              <w:marRight w:val="0"/>
              <w:marTop w:val="0"/>
              <w:marBottom w:val="0"/>
              <w:divBdr>
                <w:top w:val="none" w:sz="0" w:space="0" w:color="auto"/>
                <w:left w:val="none" w:sz="0" w:space="0" w:color="auto"/>
                <w:bottom w:val="none" w:sz="0" w:space="0" w:color="auto"/>
                <w:right w:val="none" w:sz="0" w:space="0" w:color="auto"/>
              </w:divBdr>
              <w:divsChild>
                <w:div w:id="700059334">
                  <w:marLeft w:val="0"/>
                  <w:marRight w:val="0"/>
                  <w:marTop w:val="0"/>
                  <w:marBottom w:val="0"/>
                  <w:divBdr>
                    <w:top w:val="none" w:sz="0" w:space="0" w:color="auto"/>
                    <w:left w:val="none" w:sz="0" w:space="0" w:color="auto"/>
                    <w:bottom w:val="none" w:sz="0" w:space="0" w:color="auto"/>
                    <w:right w:val="none" w:sz="0" w:space="0" w:color="auto"/>
                  </w:divBdr>
                  <w:divsChild>
                    <w:div w:id="1744057939">
                      <w:marLeft w:val="0"/>
                      <w:marRight w:val="0"/>
                      <w:marTop w:val="0"/>
                      <w:marBottom w:val="0"/>
                      <w:divBdr>
                        <w:top w:val="none" w:sz="0" w:space="0" w:color="auto"/>
                        <w:left w:val="none" w:sz="0" w:space="0" w:color="auto"/>
                        <w:bottom w:val="none" w:sz="0" w:space="0" w:color="auto"/>
                        <w:right w:val="none" w:sz="0" w:space="0" w:color="auto"/>
                      </w:divBdr>
                      <w:divsChild>
                        <w:div w:id="1033771009">
                          <w:marLeft w:val="0"/>
                          <w:marRight w:val="0"/>
                          <w:marTop w:val="0"/>
                          <w:marBottom w:val="0"/>
                          <w:divBdr>
                            <w:top w:val="none" w:sz="0" w:space="0" w:color="auto"/>
                            <w:left w:val="none" w:sz="0" w:space="0" w:color="auto"/>
                            <w:bottom w:val="none" w:sz="0" w:space="0" w:color="auto"/>
                            <w:right w:val="none" w:sz="0" w:space="0" w:color="auto"/>
                          </w:divBdr>
                          <w:divsChild>
                            <w:div w:id="1106467600">
                              <w:marLeft w:val="0"/>
                              <w:marRight w:val="0"/>
                              <w:marTop w:val="0"/>
                              <w:marBottom w:val="450"/>
                              <w:divBdr>
                                <w:top w:val="none" w:sz="0" w:space="0" w:color="auto"/>
                                <w:left w:val="none" w:sz="0" w:space="0" w:color="auto"/>
                                <w:bottom w:val="none" w:sz="0" w:space="0" w:color="auto"/>
                                <w:right w:val="none" w:sz="0" w:space="0" w:color="auto"/>
                              </w:divBdr>
                              <w:divsChild>
                                <w:div w:id="109325540">
                                  <w:marLeft w:val="0"/>
                                  <w:marRight w:val="0"/>
                                  <w:marTop w:val="0"/>
                                  <w:marBottom w:val="0"/>
                                  <w:divBdr>
                                    <w:top w:val="none" w:sz="0" w:space="0" w:color="auto"/>
                                    <w:left w:val="none" w:sz="0" w:space="0" w:color="auto"/>
                                    <w:bottom w:val="none" w:sz="0" w:space="0" w:color="auto"/>
                                    <w:right w:val="none" w:sz="0" w:space="0" w:color="auto"/>
                                  </w:divBdr>
                                </w:div>
                              </w:divsChild>
                            </w:div>
                            <w:div w:id="1060982889">
                              <w:marLeft w:val="0"/>
                              <w:marRight w:val="0"/>
                              <w:marTop w:val="0"/>
                              <w:marBottom w:val="450"/>
                              <w:divBdr>
                                <w:top w:val="none" w:sz="0" w:space="0" w:color="auto"/>
                                <w:left w:val="none" w:sz="0" w:space="0" w:color="auto"/>
                                <w:bottom w:val="none" w:sz="0" w:space="0" w:color="auto"/>
                                <w:right w:val="none" w:sz="0" w:space="0" w:color="auto"/>
                              </w:divBdr>
                              <w:divsChild>
                                <w:div w:id="40709558">
                                  <w:marLeft w:val="0"/>
                                  <w:marRight w:val="0"/>
                                  <w:marTop w:val="0"/>
                                  <w:marBottom w:val="0"/>
                                  <w:divBdr>
                                    <w:top w:val="none" w:sz="0" w:space="0" w:color="auto"/>
                                    <w:left w:val="none" w:sz="0" w:space="0" w:color="auto"/>
                                    <w:bottom w:val="none" w:sz="0" w:space="0" w:color="auto"/>
                                    <w:right w:val="none" w:sz="0" w:space="0" w:color="auto"/>
                                  </w:divBdr>
                                  <w:divsChild>
                                    <w:div w:id="50255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262901">
                              <w:marLeft w:val="0"/>
                              <w:marRight w:val="0"/>
                              <w:marTop w:val="0"/>
                              <w:marBottom w:val="450"/>
                              <w:divBdr>
                                <w:top w:val="none" w:sz="0" w:space="0" w:color="auto"/>
                                <w:left w:val="none" w:sz="0" w:space="0" w:color="auto"/>
                                <w:bottom w:val="none" w:sz="0" w:space="0" w:color="auto"/>
                                <w:right w:val="none" w:sz="0" w:space="0" w:color="auto"/>
                              </w:divBdr>
                              <w:divsChild>
                                <w:div w:id="698359595">
                                  <w:marLeft w:val="0"/>
                                  <w:marRight w:val="0"/>
                                  <w:marTop w:val="0"/>
                                  <w:marBottom w:val="0"/>
                                  <w:divBdr>
                                    <w:top w:val="none" w:sz="0" w:space="0" w:color="auto"/>
                                    <w:left w:val="none" w:sz="0" w:space="0" w:color="auto"/>
                                    <w:bottom w:val="none" w:sz="0" w:space="0" w:color="auto"/>
                                    <w:right w:val="none" w:sz="0" w:space="0" w:color="auto"/>
                                  </w:divBdr>
                                  <w:divsChild>
                                    <w:div w:id="733085980">
                                      <w:marLeft w:val="0"/>
                                      <w:marRight w:val="0"/>
                                      <w:marTop w:val="0"/>
                                      <w:marBottom w:val="0"/>
                                      <w:divBdr>
                                        <w:top w:val="none" w:sz="0" w:space="0" w:color="auto"/>
                                        <w:left w:val="none" w:sz="0" w:space="0" w:color="auto"/>
                                        <w:bottom w:val="none" w:sz="0" w:space="0" w:color="auto"/>
                                        <w:right w:val="none" w:sz="0" w:space="0" w:color="auto"/>
                                      </w:divBdr>
                                      <w:divsChild>
                                        <w:div w:id="167163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6481546">
          <w:marLeft w:val="0"/>
          <w:marRight w:val="0"/>
          <w:marTop w:val="0"/>
          <w:marBottom w:val="0"/>
          <w:divBdr>
            <w:top w:val="none" w:sz="0" w:space="0" w:color="auto"/>
            <w:left w:val="none" w:sz="0" w:space="0" w:color="auto"/>
            <w:bottom w:val="none" w:sz="0" w:space="0" w:color="auto"/>
            <w:right w:val="none" w:sz="0" w:space="0" w:color="auto"/>
          </w:divBdr>
          <w:divsChild>
            <w:div w:id="1203060673">
              <w:marLeft w:val="0"/>
              <w:marRight w:val="0"/>
              <w:marTop w:val="0"/>
              <w:marBottom w:val="0"/>
              <w:divBdr>
                <w:top w:val="none" w:sz="0" w:space="0" w:color="auto"/>
                <w:left w:val="none" w:sz="0" w:space="0" w:color="auto"/>
                <w:bottom w:val="none" w:sz="0" w:space="0" w:color="auto"/>
                <w:right w:val="none" w:sz="0" w:space="0" w:color="auto"/>
              </w:divBdr>
              <w:divsChild>
                <w:div w:id="657152765">
                  <w:marLeft w:val="0"/>
                  <w:marRight w:val="0"/>
                  <w:marTop w:val="0"/>
                  <w:marBottom w:val="0"/>
                  <w:divBdr>
                    <w:top w:val="none" w:sz="0" w:space="0" w:color="auto"/>
                    <w:left w:val="none" w:sz="0" w:space="0" w:color="auto"/>
                    <w:bottom w:val="none" w:sz="0" w:space="0" w:color="auto"/>
                    <w:right w:val="none" w:sz="0" w:space="0" w:color="auto"/>
                  </w:divBdr>
                  <w:divsChild>
                    <w:div w:id="344669062">
                      <w:marLeft w:val="0"/>
                      <w:marRight w:val="0"/>
                      <w:marTop w:val="0"/>
                      <w:marBottom w:val="0"/>
                      <w:divBdr>
                        <w:top w:val="none" w:sz="0" w:space="0" w:color="auto"/>
                        <w:left w:val="none" w:sz="0" w:space="0" w:color="auto"/>
                        <w:bottom w:val="none" w:sz="0" w:space="0" w:color="auto"/>
                        <w:right w:val="none" w:sz="0" w:space="0" w:color="auto"/>
                      </w:divBdr>
                      <w:divsChild>
                        <w:div w:id="900137154">
                          <w:marLeft w:val="0"/>
                          <w:marRight w:val="0"/>
                          <w:marTop w:val="0"/>
                          <w:marBottom w:val="0"/>
                          <w:divBdr>
                            <w:top w:val="none" w:sz="0" w:space="0" w:color="auto"/>
                            <w:left w:val="none" w:sz="0" w:space="0" w:color="auto"/>
                            <w:bottom w:val="none" w:sz="0" w:space="0" w:color="auto"/>
                            <w:right w:val="none" w:sz="0" w:space="0" w:color="auto"/>
                          </w:divBdr>
                          <w:divsChild>
                            <w:div w:id="2027251438">
                              <w:marLeft w:val="0"/>
                              <w:marRight w:val="0"/>
                              <w:marTop w:val="0"/>
                              <w:marBottom w:val="450"/>
                              <w:divBdr>
                                <w:top w:val="none" w:sz="0" w:space="0" w:color="auto"/>
                                <w:left w:val="none" w:sz="0" w:space="0" w:color="auto"/>
                                <w:bottom w:val="none" w:sz="0" w:space="0" w:color="auto"/>
                                <w:right w:val="none" w:sz="0" w:space="0" w:color="auto"/>
                              </w:divBdr>
                              <w:divsChild>
                                <w:div w:id="1847750373">
                                  <w:marLeft w:val="0"/>
                                  <w:marRight w:val="0"/>
                                  <w:marTop w:val="0"/>
                                  <w:marBottom w:val="0"/>
                                  <w:divBdr>
                                    <w:top w:val="none" w:sz="0" w:space="0" w:color="auto"/>
                                    <w:left w:val="none" w:sz="0" w:space="0" w:color="auto"/>
                                    <w:bottom w:val="none" w:sz="0" w:space="0" w:color="auto"/>
                                    <w:right w:val="none" w:sz="0" w:space="0" w:color="auto"/>
                                  </w:divBdr>
                                </w:div>
                              </w:divsChild>
                            </w:div>
                            <w:div w:id="937952347">
                              <w:marLeft w:val="0"/>
                              <w:marRight w:val="0"/>
                              <w:marTop w:val="0"/>
                              <w:marBottom w:val="450"/>
                              <w:divBdr>
                                <w:top w:val="none" w:sz="0" w:space="0" w:color="auto"/>
                                <w:left w:val="none" w:sz="0" w:space="0" w:color="auto"/>
                                <w:bottom w:val="none" w:sz="0" w:space="0" w:color="auto"/>
                                <w:right w:val="none" w:sz="0" w:space="0" w:color="auto"/>
                              </w:divBdr>
                              <w:divsChild>
                                <w:div w:id="2104840109">
                                  <w:marLeft w:val="0"/>
                                  <w:marRight w:val="0"/>
                                  <w:marTop w:val="0"/>
                                  <w:marBottom w:val="0"/>
                                  <w:divBdr>
                                    <w:top w:val="none" w:sz="0" w:space="0" w:color="auto"/>
                                    <w:left w:val="none" w:sz="0" w:space="0" w:color="auto"/>
                                    <w:bottom w:val="none" w:sz="0" w:space="0" w:color="auto"/>
                                    <w:right w:val="none" w:sz="0" w:space="0" w:color="auto"/>
                                  </w:divBdr>
                                  <w:divsChild>
                                    <w:div w:id="67981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7090">
                              <w:marLeft w:val="0"/>
                              <w:marRight w:val="0"/>
                              <w:marTop w:val="0"/>
                              <w:marBottom w:val="450"/>
                              <w:divBdr>
                                <w:top w:val="none" w:sz="0" w:space="0" w:color="auto"/>
                                <w:left w:val="none" w:sz="0" w:space="0" w:color="auto"/>
                                <w:bottom w:val="none" w:sz="0" w:space="0" w:color="auto"/>
                                <w:right w:val="none" w:sz="0" w:space="0" w:color="auto"/>
                              </w:divBdr>
                              <w:divsChild>
                                <w:div w:id="734208882">
                                  <w:marLeft w:val="0"/>
                                  <w:marRight w:val="0"/>
                                  <w:marTop w:val="0"/>
                                  <w:marBottom w:val="0"/>
                                  <w:divBdr>
                                    <w:top w:val="none" w:sz="0" w:space="0" w:color="auto"/>
                                    <w:left w:val="none" w:sz="0" w:space="0" w:color="auto"/>
                                    <w:bottom w:val="none" w:sz="0" w:space="0" w:color="auto"/>
                                    <w:right w:val="none" w:sz="0" w:space="0" w:color="auto"/>
                                  </w:divBdr>
                                </w:div>
                              </w:divsChild>
                            </w:div>
                            <w:div w:id="188878300">
                              <w:marLeft w:val="0"/>
                              <w:marRight w:val="0"/>
                              <w:marTop w:val="0"/>
                              <w:marBottom w:val="0"/>
                              <w:divBdr>
                                <w:top w:val="none" w:sz="0" w:space="0" w:color="auto"/>
                                <w:left w:val="none" w:sz="0" w:space="0" w:color="auto"/>
                                <w:bottom w:val="none" w:sz="0" w:space="0" w:color="auto"/>
                                <w:right w:val="none" w:sz="0" w:space="0" w:color="auto"/>
                              </w:divBdr>
                              <w:divsChild>
                                <w:div w:id="1833719404">
                                  <w:marLeft w:val="0"/>
                                  <w:marRight w:val="0"/>
                                  <w:marTop w:val="0"/>
                                  <w:marBottom w:val="0"/>
                                  <w:divBdr>
                                    <w:top w:val="none" w:sz="0" w:space="0" w:color="auto"/>
                                    <w:left w:val="none" w:sz="0" w:space="0" w:color="auto"/>
                                    <w:bottom w:val="none" w:sz="0" w:space="0" w:color="auto"/>
                                    <w:right w:val="none" w:sz="0" w:space="0" w:color="auto"/>
                                  </w:divBdr>
                                  <w:divsChild>
                                    <w:div w:id="159262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7799663">
      <w:bodyDiv w:val="1"/>
      <w:marLeft w:val="0"/>
      <w:marRight w:val="0"/>
      <w:marTop w:val="0"/>
      <w:marBottom w:val="0"/>
      <w:divBdr>
        <w:top w:val="none" w:sz="0" w:space="0" w:color="auto"/>
        <w:left w:val="none" w:sz="0" w:space="0" w:color="auto"/>
        <w:bottom w:val="none" w:sz="0" w:space="0" w:color="auto"/>
        <w:right w:val="none" w:sz="0" w:space="0" w:color="auto"/>
      </w:divBdr>
    </w:div>
    <w:div w:id="760611062">
      <w:bodyDiv w:val="1"/>
      <w:marLeft w:val="0"/>
      <w:marRight w:val="0"/>
      <w:marTop w:val="0"/>
      <w:marBottom w:val="0"/>
      <w:divBdr>
        <w:top w:val="none" w:sz="0" w:space="0" w:color="auto"/>
        <w:left w:val="none" w:sz="0" w:space="0" w:color="auto"/>
        <w:bottom w:val="none" w:sz="0" w:space="0" w:color="auto"/>
        <w:right w:val="none" w:sz="0" w:space="0" w:color="auto"/>
      </w:divBdr>
    </w:div>
    <w:div w:id="829714580">
      <w:bodyDiv w:val="1"/>
      <w:marLeft w:val="0"/>
      <w:marRight w:val="0"/>
      <w:marTop w:val="0"/>
      <w:marBottom w:val="0"/>
      <w:divBdr>
        <w:top w:val="none" w:sz="0" w:space="0" w:color="auto"/>
        <w:left w:val="none" w:sz="0" w:space="0" w:color="auto"/>
        <w:bottom w:val="none" w:sz="0" w:space="0" w:color="auto"/>
        <w:right w:val="none" w:sz="0" w:space="0" w:color="auto"/>
      </w:divBdr>
      <w:divsChild>
        <w:div w:id="34886927">
          <w:marLeft w:val="0"/>
          <w:marRight w:val="0"/>
          <w:marTop w:val="0"/>
          <w:marBottom w:val="0"/>
          <w:divBdr>
            <w:top w:val="none" w:sz="0" w:space="0" w:color="auto"/>
            <w:left w:val="none" w:sz="0" w:space="0" w:color="auto"/>
            <w:bottom w:val="none" w:sz="0" w:space="0" w:color="auto"/>
            <w:right w:val="none" w:sz="0" w:space="0" w:color="auto"/>
          </w:divBdr>
        </w:div>
      </w:divsChild>
    </w:div>
    <w:div w:id="1365131524">
      <w:bodyDiv w:val="1"/>
      <w:marLeft w:val="0"/>
      <w:marRight w:val="0"/>
      <w:marTop w:val="0"/>
      <w:marBottom w:val="0"/>
      <w:divBdr>
        <w:top w:val="none" w:sz="0" w:space="0" w:color="auto"/>
        <w:left w:val="none" w:sz="0" w:space="0" w:color="auto"/>
        <w:bottom w:val="none" w:sz="0" w:space="0" w:color="auto"/>
        <w:right w:val="none" w:sz="0" w:space="0" w:color="auto"/>
      </w:divBdr>
      <w:divsChild>
        <w:div w:id="923761840">
          <w:blockQuote w:val="1"/>
          <w:marLeft w:val="720"/>
          <w:marRight w:val="720"/>
          <w:marTop w:val="100"/>
          <w:marBottom w:val="100"/>
          <w:divBdr>
            <w:top w:val="none" w:sz="0" w:space="0" w:color="auto"/>
            <w:left w:val="none" w:sz="0" w:space="0" w:color="auto"/>
            <w:bottom w:val="none" w:sz="0" w:space="0" w:color="auto"/>
            <w:right w:val="none" w:sz="0" w:space="0" w:color="auto"/>
          </w:divBdr>
        </w:div>
        <w:div w:id="61394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632053454">
          <w:blockQuote w:val="1"/>
          <w:marLeft w:val="720"/>
          <w:marRight w:val="720"/>
          <w:marTop w:val="100"/>
          <w:marBottom w:val="100"/>
          <w:divBdr>
            <w:top w:val="none" w:sz="0" w:space="0" w:color="auto"/>
            <w:left w:val="none" w:sz="0" w:space="0" w:color="auto"/>
            <w:bottom w:val="none" w:sz="0" w:space="0" w:color="auto"/>
            <w:right w:val="none" w:sz="0" w:space="0" w:color="auto"/>
          </w:divBdr>
        </w:div>
        <w:div w:id="66829335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9942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85867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805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s://academic.oup.com/jcem/article/104/5/1595/5418884.&#8239;"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210/jc.2019-00192" TargetMode="Externa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1659</Words>
  <Characters>9460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Fainstad</dc:creator>
  <cp:keywords/>
  <dc:description/>
  <cp:lastModifiedBy>Yilin Zhang</cp:lastModifiedBy>
  <cp:revision>11</cp:revision>
  <dcterms:created xsi:type="dcterms:W3CDTF">2022-02-09T21:44:00Z</dcterms:created>
  <dcterms:modified xsi:type="dcterms:W3CDTF">2022-03-07T20:20:00Z</dcterms:modified>
</cp:coreProperties>
</file>