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AF4E" w14:textId="628C1676" w:rsidR="00213B29" w:rsidRDefault="00213B29" w:rsidP="28512735">
      <w:pPr>
        <w:spacing w:after="0" w:line="240" w:lineRule="auto"/>
        <w:contextualSpacing/>
        <w:rPr>
          <w:rFonts w:eastAsia="Times New Roman"/>
        </w:rPr>
      </w:pPr>
      <w:r w:rsidRPr="00BE73DA">
        <w:rPr>
          <w:rFonts w:eastAsia="Times New Roman" w:cstheme="minorHAnsi"/>
          <w:b/>
          <w:bCs/>
        </w:rPr>
        <w:t>Author</w:t>
      </w:r>
      <w:r w:rsidR="008D4062">
        <w:rPr>
          <w:rFonts w:eastAsia="Times New Roman" w:cstheme="minorHAnsi"/>
          <w:b/>
          <w:bCs/>
        </w:rPr>
        <w:t>s</w:t>
      </w:r>
      <w:r w:rsidRPr="0010633F">
        <w:rPr>
          <w:rFonts w:eastAsia="Times New Roman" w:cstheme="minorHAnsi"/>
          <w:b/>
          <w:bCs/>
        </w:rPr>
        <w:t xml:space="preserve">: </w:t>
      </w:r>
      <w:r w:rsidR="00E02DC4" w:rsidRPr="0010633F">
        <w:rPr>
          <w:rFonts w:eastAsia="Times New Roman" w:cstheme="minorHAnsi"/>
        </w:rPr>
        <w:t>CJ Mowry</w:t>
      </w:r>
      <w:r w:rsidR="00646F7C">
        <w:rPr>
          <w:rFonts w:eastAsia="Times New Roman" w:cstheme="minorHAnsi"/>
        </w:rPr>
        <w:t>, MD</w:t>
      </w:r>
      <w:r w:rsidR="008D4062">
        <w:rPr>
          <w:rFonts w:eastAsia="Times New Roman"/>
          <w:b/>
          <w:bCs/>
        </w:rPr>
        <w:t xml:space="preserve">, </w:t>
      </w:r>
      <w:r w:rsidR="79AB5585" w:rsidRPr="28512735">
        <w:rPr>
          <w:rFonts w:eastAsia="Times New Roman"/>
        </w:rPr>
        <w:t xml:space="preserve">Michael </w:t>
      </w:r>
      <w:proofErr w:type="spellStart"/>
      <w:r w:rsidR="79AB5585" w:rsidRPr="28512735">
        <w:rPr>
          <w:rFonts w:eastAsia="Times New Roman"/>
        </w:rPr>
        <w:t>Kriss</w:t>
      </w:r>
      <w:proofErr w:type="spellEnd"/>
      <w:r w:rsidR="79AB5585" w:rsidRPr="28512735">
        <w:rPr>
          <w:rFonts w:eastAsia="Times New Roman"/>
        </w:rPr>
        <w:t>, MD</w:t>
      </w:r>
    </w:p>
    <w:p w14:paraId="471DA03B" w14:textId="77777777" w:rsidR="008D4062" w:rsidRDefault="008D4062" w:rsidP="28512735">
      <w:pPr>
        <w:spacing w:after="0" w:line="240" w:lineRule="auto"/>
        <w:contextualSpacing/>
        <w:rPr>
          <w:rFonts w:eastAsia="Times New Roman"/>
          <w:b/>
          <w:bCs/>
        </w:rPr>
      </w:pPr>
    </w:p>
    <w:p w14:paraId="76BE182F" w14:textId="4C7BD00C" w:rsidR="00213B29" w:rsidRPr="00BE73DA" w:rsidRDefault="00213B29" w:rsidP="00213B29">
      <w:pPr>
        <w:spacing w:after="0" w:line="240" w:lineRule="auto"/>
        <w:contextualSpacing/>
        <w:outlineLvl w:val="1"/>
        <w:rPr>
          <w:rFonts w:eastAsia="Times New Roman" w:cstheme="minorHAnsi"/>
          <w:color w:val="000000"/>
        </w:rPr>
      </w:pPr>
      <w:r w:rsidRPr="00BE73DA">
        <w:rPr>
          <w:rFonts w:eastAsia="Times New Roman" w:cstheme="minorHAnsi"/>
          <w:b/>
          <w:bCs/>
          <w:color w:val="000000"/>
        </w:rPr>
        <w:t>Objectives</w:t>
      </w:r>
      <w:r>
        <w:rPr>
          <w:rFonts w:eastAsia="Times New Roman" w:cstheme="minorHAnsi"/>
          <w:color w:val="000000"/>
        </w:rPr>
        <w:t xml:space="preserve"> </w:t>
      </w:r>
    </w:p>
    <w:p w14:paraId="75B2B796" w14:textId="42C57479" w:rsidR="00213B29" w:rsidRDefault="005904E0" w:rsidP="28512735">
      <w:pPr>
        <w:pStyle w:val="ListParagraph"/>
        <w:numPr>
          <w:ilvl w:val="0"/>
          <w:numId w:val="3"/>
        </w:numPr>
        <w:spacing w:after="0" w:line="240" w:lineRule="auto"/>
        <w:outlineLvl w:val="1"/>
        <w:rPr>
          <w:rFonts w:eastAsia="Times New Roman"/>
        </w:rPr>
      </w:pPr>
      <w:r>
        <w:rPr>
          <w:rFonts w:eastAsia="Times New Roman"/>
        </w:rPr>
        <w:t>D</w:t>
      </w:r>
      <w:r w:rsidR="00E02DC4" w:rsidRPr="28512735">
        <w:rPr>
          <w:rFonts w:eastAsia="Times New Roman"/>
        </w:rPr>
        <w:t>efine acute liver failure</w:t>
      </w:r>
      <w:r w:rsidR="695FE512" w:rsidRPr="28512735">
        <w:rPr>
          <w:rFonts w:eastAsia="Times New Roman"/>
        </w:rPr>
        <w:t xml:space="preserve"> and differentiate</w:t>
      </w:r>
      <w:r>
        <w:rPr>
          <w:rFonts w:eastAsia="Times New Roman"/>
        </w:rPr>
        <w:t xml:space="preserve"> it</w:t>
      </w:r>
      <w:r w:rsidR="695FE512" w:rsidRPr="28512735">
        <w:rPr>
          <w:rFonts w:eastAsia="Times New Roman"/>
        </w:rPr>
        <w:t xml:space="preserve"> from acute liver injury. </w:t>
      </w:r>
    </w:p>
    <w:p w14:paraId="7F4EAFE9" w14:textId="665BEDC9" w:rsidR="00170AF8" w:rsidRDefault="00CB28FB" w:rsidP="00213B29">
      <w:pPr>
        <w:pStyle w:val="ListParagraph"/>
        <w:numPr>
          <w:ilvl w:val="0"/>
          <w:numId w:val="3"/>
        </w:numPr>
        <w:spacing w:after="0" w:line="240" w:lineRule="auto"/>
        <w:outlineLvl w:val="1"/>
        <w:rPr>
          <w:rFonts w:eastAsia="Times New Roman" w:cstheme="minorHAnsi"/>
        </w:rPr>
      </w:pPr>
      <w:r>
        <w:rPr>
          <w:rFonts w:eastAsia="Times New Roman" w:cstheme="minorHAnsi"/>
        </w:rPr>
        <w:t>Evaluate a patient with acute liver failure and i</w:t>
      </w:r>
      <w:r w:rsidR="00170AF8">
        <w:rPr>
          <w:rFonts w:eastAsia="Times New Roman" w:cstheme="minorHAnsi"/>
        </w:rPr>
        <w:t xml:space="preserve">dentify the most common causes. </w:t>
      </w:r>
    </w:p>
    <w:p w14:paraId="35155CDF" w14:textId="6474E303" w:rsidR="00E02DC4" w:rsidRDefault="008D4062" w:rsidP="00213B29">
      <w:pPr>
        <w:pStyle w:val="ListParagraph"/>
        <w:numPr>
          <w:ilvl w:val="0"/>
          <w:numId w:val="3"/>
        </w:numPr>
        <w:spacing w:after="0" w:line="240" w:lineRule="auto"/>
        <w:outlineLvl w:val="1"/>
        <w:rPr>
          <w:rFonts w:eastAsia="Times New Roman" w:cstheme="minorHAnsi"/>
        </w:rPr>
      </w:pPr>
      <w:r>
        <w:rPr>
          <w:rFonts w:eastAsia="Times New Roman" w:cstheme="minorHAnsi"/>
        </w:rPr>
        <w:t>Develop a framework to guide</w:t>
      </w:r>
      <w:r w:rsidR="00E02DC4">
        <w:rPr>
          <w:rFonts w:eastAsia="Times New Roman" w:cstheme="minorHAnsi"/>
        </w:rPr>
        <w:t xml:space="preserve"> initial management of acute liver failure. </w:t>
      </w:r>
    </w:p>
    <w:p w14:paraId="6439E0B6" w14:textId="77777777" w:rsidR="00213B29" w:rsidRPr="00307A15" w:rsidRDefault="00213B29" w:rsidP="00213B29">
      <w:pPr>
        <w:spacing w:after="0" w:line="240" w:lineRule="auto"/>
        <w:outlineLvl w:val="1"/>
        <w:rPr>
          <w:rFonts w:eastAsia="Times New Roman" w:cstheme="minorHAnsi"/>
        </w:rPr>
      </w:pPr>
    </w:p>
    <w:p w14:paraId="1B6EA3A0" w14:textId="7DE1FA32" w:rsidR="00213B29" w:rsidRPr="00BE73DA" w:rsidRDefault="00213B29" w:rsidP="00213B29">
      <w:pPr>
        <w:spacing w:after="0" w:line="240" w:lineRule="auto"/>
        <w:contextualSpacing/>
        <w:rPr>
          <w:rFonts w:eastAsia="Times New Roman" w:cstheme="minorHAnsi"/>
          <w:b/>
          <w:bCs/>
        </w:rPr>
      </w:pPr>
      <w:r w:rsidRPr="00BE73DA">
        <w:rPr>
          <w:rFonts w:eastAsia="Times New Roman" w:cstheme="minorHAnsi"/>
          <w:b/>
          <w:bCs/>
        </w:rPr>
        <w:t>Teaching Instructions</w:t>
      </w:r>
      <w:r>
        <w:rPr>
          <w:rFonts w:eastAsia="Times New Roman" w:cstheme="minorHAnsi"/>
          <w:b/>
          <w:bCs/>
        </w:rPr>
        <w:t xml:space="preserve"> </w:t>
      </w:r>
    </w:p>
    <w:p w14:paraId="587E4AE8" w14:textId="10D2EA2F" w:rsidR="00831BD4" w:rsidRDefault="00213B29" w:rsidP="005904E0">
      <w:pPr>
        <w:spacing w:after="0" w:line="240" w:lineRule="auto"/>
        <w:rPr>
          <w:rFonts w:eastAsia="Times New Roman"/>
        </w:rPr>
      </w:pPr>
      <w:r w:rsidRPr="63684211">
        <w:rPr>
          <w:rFonts w:eastAsia="Times New Roman"/>
        </w:rPr>
        <w:t xml:space="preserve">Plan to spend at least </w:t>
      </w:r>
      <w:r w:rsidR="008D4062">
        <w:rPr>
          <w:rFonts w:eastAsia="Times New Roman"/>
        </w:rPr>
        <w:t>30-60</w:t>
      </w:r>
      <w:r w:rsidRPr="63684211">
        <w:rPr>
          <w:rFonts w:eastAsia="Times New Roman"/>
        </w:rPr>
        <w:t xml:space="preserve"> minutes preparing for this talk</w:t>
      </w:r>
      <w:r w:rsidR="7A474D44" w:rsidRPr="63684211">
        <w:rPr>
          <w:rFonts w:eastAsia="Times New Roman"/>
        </w:rPr>
        <w:t xml:space="preserve"> by </w:t>
      </w:r>
      <w:r w:rsidR="008D4062">
        <w:rPr>
          <w:rFonts w:eastAsia="Times New Roman"/>
        </w:rPr>
        <w:t xml:space="preserve">using the Interactive Board and </w:t>
      </w:r>
      <w:r w:rsidR="7A474D44" w:rsidRPr="63684211">
        <w:rPr>
          <w:rFonts w:eastAsia="Times New Roman"/>
        </w:rPr>
        <w:t xml:space="preserve">clicking through the graphic animations </w:t>
      </w:r>
      <w:r w:rsidR="008D4062">
        <w:rPr>
          <w:rFonts w:eastAsia="Times New Roman"/>
        </w:rPr>
        <w:t>to become familiar with the flow and</w:t>
      </w:r>
      <w:r w:rsidR="7A474D44" w:rsidRPr="63684211">
        <w:rPr>
          <w:rFonts w:eastAsia="Times New Roman"/>
        </w:rPr>
        <w:t xml:space="preserve"> content </w:t>
      </w:r>
      <w:r w:rsidR="008D4062">
        <w:rPr>
          <w:rFonts w:eastAsia="Times New Roman"/>
        </w:rPr>
        <w:t>of</w:t>
      </w:r>
      <w:r w:rsidR="7A474D44" w:rsidRPr="63684211">
        <w:rPr>
          <w:rFonts w:eastAsia="Times New Roman"/>
        </w:rPr>
        <w:t xml:space="preserve"> the talk.</w:t>
      </w:r>
      <w:r w:rsidR="28ABAFF3" w:rsidRPr="63684211">
        <w:rPr>
          <w:rFonts w:eastAsia="Times New Roman"/>
        </w:rPr>
        <w:t xml:space="preserve"> </w:t>
      </w:r>
      <w:r w:rsidR="7A474D44" w:rsidRPr="63684211">
        <w:rPr>
          <w:rFonts w:eastAsia="Times New Roman"/>
        </w:rPr>
        <w:t xml:space="preserve">Print out copies of the Learner’s Handout so learners can take </w:t>
      </w:r>
      <w:r w:rsidR="1AFAAF10" w:rsidRPr="63684211">
        <w:rPr>
          <w:rFonts w:eastAsia="Times New Roman"/>
        </w:rPr>
        <w:t xml:space="preserve">notes as you review the definition, etiologies, and management of acute liver failure. </w:t>
      </w:r>
    </w:p>
    <w:p w14:paraId="1A8D3C8C" w14:textId="77777777" w:rsidR="00831BD4" w:rsidRPr="00831BD4" w:rsidRDefault="1AFAAF10" w:rsidP="00831BD4">
      <w:pPr>
        <w:pStyle w:val="NormalWeb"/>
        <w:spacing w:after="0" w:afterAutospacing="0"/>
        <w:rPr>
          <w:rFonts w:asciiTheme="minorHAnsi" w:hAnsiTheme="minorHAnsi" w:cstheme="minorHAnsi"/>
          <w:sz w:val="22"/>
          <w:szCs w:val="22"/>
        </w:rPr>
      </w:pPr>
      <w:r w:rsidRPr="00831BD4">
        <w:rPr>
          <w:rFonts w:asciiTheme="minorHAnsi" w:hAnsiTheme="minorHAnsi" w:cstheme="minorHAnsi"/>
          <w:sz w:val="22"/>
          <w:szCs w:val="22"/>
        </w:rPr>
        <w:t xml:space="preserve">The anticipated time to deliver this talk is </w:t>
      </w:r>
      <w:r w:rsidR="00330BA6" w:rsidRPr="00831BD4">
        <w:rPr>
          <w:rFonts w:asciiTheme="minorHAnsi" w:hAnsiTheme="minorHAnsi" w:cstheme="minorHAnsi"/>
          <w:b/>
          <w:bCs/>
          <w:sz w:val="22"/>
          <w:szCs w:val="22"/>
        </w:rPr>
        <w:t>20</w:t>
      </w:r>
      <w:r w:rsidRPr="00831BD4">
        <w:rPr>
          <w:rFonts w:asciiTheme="minorHAnsi" w:hAnsiTheme="minorHAnsi" w:cstheme="minorHAnsi"/>
          <w:b/>
          <w:bCs/>
          <w:sz w:val="22"/>
          <w:szCs w:val="22"/>
        </w:rPr>
        <w:t xml:space="preserve"> minutes without cases and </w:t>
      </w:r>
      <w:r w:rsidR="00330BA6" w:rsidRPr="00831BD4">
        <w:rPr>
          <w:rFonts w:asciiTheme="minorHAnsi" w:hAnsiTheme="minorHAnsi" w:cstheme="minorHAnsi"/>
          <w:b/>
          <w:bCs/>
          <w:sz w:val="22"/>
          <w:szCs w:val="22"/>
        </w:rPr>
        <w:t>30</w:t>
      </w:r>
      <w:r w:rsidR="00287D7A" w:rsidRPr="00831BD4">
        <w:rPr>
          <w:rFonts w:asciiTheme="minorHAnsi" w:hAnsiTheme="minorHAnsi" w:cstheme="minorHAnsi"/>
          <w:b/>
          <w:bCs/>
          <w:sz w:val="22"/>
          <w:szCs w:val="22"/>
        </w:rPr>
        <w:t>-3</w:t>
      </w:r>
      <w:r w:rsidR="00330BA6" w:rsidRPr="00831BD4">
        <w:rPr>
          <w:rFonts w:asciiTheme="minorHAnsi" w:hAnsiTheme="minorHAnsi" w:cstheme="minorHAnsi"/>
          <w:b/>
          <w:bCs/>
          <w:sz w:val="22"/>
          <w:szCs w:val="22"/>
        </w:rPr>
        <w:t>5</w:t>
      </w:r>
      <w:r w:rsidRPr="00831BD4">
        <w:rPr>
          <w:rFonts w:asciiTheme="minorHAnsi" w:hAnsiTheme="minorHAnsi" w:cstheme="minorHAnsi"/>
          <w:b/>
          <w:bCs/>
          <w:sz w:val="22"/>
          <w:szCs w:val="22"/>
        </w:rPr>
        <w:t xml:space="preserve"> minutes with cases. </w:t>
      </w:r>
      <w:r w:rsidR="00831BD4" w:rsidRPr="00831BD4">
        <w:rPr>
          <w:rFonts w:asciiTheme="minorHAnsi" w:hAnsiTheme="minorHAnsi" w:cstheme="minorHAnsi"/>
          <w:sz w:val="22"/>
          <w:szCs w:val="22"/>
        </w:rPr>
        <w:t>The talk can be presented in two ways:</w:t>
      </w:r>
    </w:p>
    <w:p w14:paraId="3758783D" w14:textId="77777777" w:rsidR="00831BD4" w:rsidRPr="00831BD4" w:rsidRDefault="00831BD4" w:rsidP="00831BD4">
      <w:pPr>
        <w:numPr>
          <w:ilvl w:val="0"/>
          <w:numId w:val="11"/>
        </w:numPr>
        <w:spacing w:before="100" w:beforeAutospacing="1" w:after="0" w:line="240" w:lineRule="auto"/>
        <w:rPr>
          <w:rFonts w:eastAsia="Times New Roman" w:cstheme="minorHAnsi"/>
        </w:rPr>
      </w:pPr>
      <w:r w:rsidRPr="00831BD4">
        <w:rPr>
          <w:rFonts w:eastAsia="Times New Roman" w:cstheme="minorHAnsi"/>
        </w:rPr>
        <w:t>Project the “interactive Board for Presentation” OR</w:t>
      </w:r>
    </w:p>
    <w:p w14:paraId="1F9F4359" w14:textId="48EDDE60" w:rsidR="00213B29" w:rsidRPr="00831BD4" w:rsidRDefault="00831BD4" w:rsidP="00831BD4">
      <w:pPr>
        <w:numPr>
          <w:ilvl w:val="0"/>
          <w:numId w:val="11"/>
        </w:numPr>
        <w:spacing w:before="100" w:beforeAutospacing="1" w:after="0" w:line="240" w:lineRule="auto"/>
        <w:rPr>
          <w:rFonts w:eastAsia="Times New Roman" w:cstheme="minorHAnsi"/>
        </w:rPr>
      </w:pPr>
      <w:r w:rsidRPr="00831BD4">
        <w:rPr>
          <w:rFonts w:eastAsia="Times New Roman" w:cstheme="minorHAnsi"/>
        </w:rPr>
        <w:t>Reproduce your own drawing of the presentation on a whiteboard.</w:t>
      </w:r>
    </w:p>
    <w:p w14:paraId="0B119602" w14:textId="3A9480C5" w:rsidR="4622180E" w:rsidRPr="00831BD4" w:rsidRDefault="4622180E" w:rsidP="00831BD4">
      <w:pPr>
        <w:spacing w:after="0" w:line="240" w:lineRule="auto"/>
        <w:ind w:left="720"/>
        <w:rPr>
          <w:rFonts w:eastAsia="Times New Roman" w:cstheme="minorHAnsi"/>
        </w:rPr>
      </w:pPr>
    </w:p>
    <w:p w14:paraId="651EE617" w14:textId="2D23FE61" w:rsidR="4C1FA28A" w:rsidRDefault="4C1FA28A" w:rsidP="005904E0">
      <w:pPr>
        <w:spacing w:after="0" w:line="240" w:lineRule="auto"/>
        <w:rPr>
          <w:rFonts w:eastAsia="Times New Roman"/>
        </w:rPr>
      </w:pPr>
      <w:r w:rsidRPr="2BEB3E3B">
        <w:rPr>
          <w:rFonts w:eastAsia="Times New Roman"/>
        </w:rPr>
        <w:t>Begin with reviewing the objectives for the session. We recommend progressing in order, although this gives you the flexibility of doing more focused teaching on subtopics of interest. All clickable elements are indicated by a cursor icon</w:t>
      </w:r>
      <w:r w:rsidR="008D4062">
        <w:rPr>
          <w:rFonts w:eastAsia="Times New Roman"/>
        </w:rPr>
        <w:t xml:space="preserve"> </w:t>
      </w:r>
      <w:r w:rsidR="008D4062">
        <w:rPr>
          <w:noProof/>
        </w:rPr>
        <w:drawing>
          <wp:inline distT="0" distB="0" distL="0" distR="0" wp14:anchorId="79AE7B1F" wp14:editId="35B6493A">
            <wp:extent cx="202663" cy="199848"/>
            <wp:effectExtent l="0" t="0" r="6985" b="0"/>
            <wp:docPr id="94982204" name="Picture 9498220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82204" name="Picture 94982204"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63" cy="199848"/>
                    </a:xfrm>
                    <a:prstGeom prst="rect">
                      <a:avLst/>
                    </a:prstGeom>
                  </pic:spPr>
                </pic:pic>
              </a:graphicData>
            </a:graphic>
          </wp:inline>
        </w:drawing>
      </w:r>
      <w:r w:rsidRPr="2BEB3E3B">
        <w:rPr>
          <w:rFonts w:eastAsia="Times New Roman"/>
        </w:rPr>
        <w:t xml:space="preserve">. </w:t>
      </w:r>
    </w:p>
    <w:p w14:paraId="02C3A646" w14:textId="77777777" w:rsidR="00213B29" w:rsidRPr="00BE73DA" w:rsidRDefault="00213B29" w:rsidP="00213B29">
      <w:pPr>
        <w:shd w:val="clear" w:color="auto" w:fill="FEFEFE"/>
        <w:spacing w:after="0" w:line="240" w:lineRule="auto"/>
        <w:ind w:left="720"/>
        <w:rPr>
          <w:rFonts w:eastAsia="Times New Roman" w:cstheme="minorHAnsi"/>
          <w:spacing w:val="4"/>
        </w:rPr>
      </w:pPr>
    </w:p>
    <w:p w14:paraId="26CE802E" w14:textId="39D4A74F" w:rsidR="00213B29" w:rsidRPr="00761CB7" w:rsidRDefault="00213B29" w:rsidP="005904E0">
      <w:pPr>
        <w:spacing w:after="0" w:line="240" w:lineRule="auto"/>
        <w:outlineLvl w:val="1"/>
        <w:rPr>
          <w:rFonts w:eastAsia="Times New Roman"/>
        </w:rPr>
      </w:pPr>
      <w:r w:rsidRPr="00831BD4">
        <w:rPr>
          <w:rFonts w:eastAsia="Times New Roman"/>
          <w:b/>
          <w:bCs/>
          <w:spacing w:val="4"/>
          <w:u w:val="single"/>
        </w:rPr>
        <w:t>Objective 1</w:t>
      </w:r>
      <w:r w:rsidRPr="4622180E">
        <w:rPr>
          <w:rFonts w:eastAsia="Times New Roman"/>
          <w:b/>
          <w:bCs/>
          <w:spacing w:val="4"/>
        </w:rPr>
        <w:t>:</w:t>
      </w:r>
      <w:r w:rsidRPr="4622180E">
        <w:rPr>
          <w:rFonts w:eastAsia="Times New Roman"/>
          <w:spacing w:val="4"/>
        </w:rPr>
        <w:t> </w:t>
      </w:r>
      <w:r w:rsidR="005904E0" w:rsidRPr="00831BD4">
        <w:rPr>
          <w:rFonts w:eastAsia="Times New Roman"/>
          <w:b/>
          <w:bCs/>
          <w:i/>
          <w:iCs/>
        </w:rPr>
        <w:t>Define ALF</w:t>
      </w:r>
      <w:r w:rsidR="00C60D4C" w:rsidRPr="00831BD4">
        <w:rPr>
          <w:rFonts w:eastAsia="Times New Roman"/>
          <w:b/>
          <w:bCs/>
          <w:i/>
          <w:iCs/>
        </w:rPr>
        <w:t xml:space="preserve"> and differentiate it from acute live injury</w:t>
      </w:r>
      <w:r w:rsidR="00EA68C3">
        <w:rPr>
          <w:rFonts w:eastAsia="Times New Roman"/>
          <w:b/>
          <w:bCs/>
          <w:i/>
          <w:iCs/>
        </w:rPr>
        <w:t>.</w:t>
      </w:r>
      <w:r w:rsidR="00831BD4">
        <w:rPr>
          <w:rFonts w:eastAsia="Times New Roman"/>
          <w:b/>
          <w:bCs/>
        </w:rPr>
        <w:t xml:space="preserve"> (Definition)</w:t>
      </w:r>
    </w:p>
    <w:p w14:paraId="2206C19E" w14:textId="3AB7A05C" w:rsidR="1B6AD3B4" w:rsidRPr="00287D7A" w:rsidRDefault="1B6AD3B4" w:rsidP="00C60D4C">
      <w:pPr>
        <w:spacing w:after="0" w:line="240" w:lineRule="auto"/>
        <w:outlineLvl w:val="1"/>
        <w:rPr>
          <w:rFonts w:eastAsia="Times New Roman"/>
          <w:i/>
          <w:iCs/>
        </w:rPr>
      </w:pPr>
      <w:r w:rsidRPr="00C60D4C">
        <w:rPr>
          <w:rFonts w:eastAsia="Times New Roman"/>
        </w:rPr>
        <w:t xml:space="preserve">Acute liver failure (ALF) </w:t>
      </w:r>
      <w:r w:rsidR="6229EB7C" w:rsidRPr="00C60D4C">
        <w:rPr>
          <w:rFonts w:eastAsia="Times New Roman"/>
        </w:rPr>
        <w:t>is a rare but life-threatening illness with</w:t>
      </w:r>
      <w:r w:rsidR="00254A23" w:rsidRPr="00C60D4C">
        <w:rPr>
          <w:rFonts w:eastAsia="Times New Roman"/>
        </w:rPr>
        <w:t xml:space="preserve"> a</w:t>
      </w:r>
      <w:r w:rsidR="6229EB7C" w:rsidRPr="00C60D4C">
        <w:rPr>
          <w:rFonts w:eastAsia="Times New Roman"/>
        </w:rPr>
        <w:t xml:space="preserve"> high mortality rate</w:t>
      </w:r>
      <w:r w:rsidR="005904E0" w:rsidRPr="00C60D4C">
        <w:rPr>
          <w:rFonts w:eastAsia="Times New Roman"/>
        </w:rPr>
        <w:t xml:space="preserve"> (</w:t>
      </w:r>
      <w:r w:rsidR="00254A23" w:rsidRPr="00C60D4C">
        <w:rPr>
          <w:rFonts w:eastAsia="Times New Roman"/>
        </w:rPr>
        <w:t>20-80% depending on underlying etiology</w:t>
      </w:r>
      <w:r w:rsidR="005904E0" w:rsidRPr="00C60D4C">
        <w:rPr>
          <w:rFonts w:eastAsia="Times New Roman"/>
        </w:rPr>
        <w:t>).</w:t>
      </w:r>
      <w:r w:rsidR="007344C2" w:rsidRPr="00C60D4C">
        <w:rPr>
          <w:rFonts w:eastAsia="Times New Roman"/>
        </w:rPr>
        <w:t xml:space="preserve"> </w:t>
      </w:r>
      <w:r w:rsidR="005904E0" w:rsidRPr="00C60D4C">
        <w:rPr>
          <w:rFonts w:eastAsia="Times New Roman"/>
        </w:rPr>
        <w:t xml:space="preserve">It </w:t>
      </w:r>
      <w:r w:rsidR="6229EB7C" w:rsidRPr="00C60D4C">
        <w:rPr>
          <w:rFonts w:eastAsia="Times New Roman"/>
        </w:rPr>
        <w:t>requires prompt identification and management to improve survival</w:t>
      </w:r>
      <w:r w:rsidR="4DC558BB" w:rsidRPr="00C60D4C">
        <w:rPr>
          <w:rFonts w:eastAsia="Times New Roman"/>
        </w:rPr>
        <w:t xml:space="preserve">. </w:t>
      </w:r>
      <w:r w:rsidR="00C60D4C" w:rsidRPr="00287D7A">
        <w:rPr>
          <w:rFonts w:eastAsia="Times New Roman"/>
          <w:i/>
          <w:iCs/>
        </w:rPr>
        <w:t xml:space="preserve">Ask your learners what </w:t>
      </w:r>
      <w:r w:rsidR="00CB28FB">
        <w:rPr>
          <w:rFonts w:eastAsia="Times New Roman"/>
          <w:i/>
          <w:iCs/>
        </w:rPr>
        <w:t xml:space="preserve">the three criteria for ALF </w:t>
      </w:r>
      <w:r w:rsidR="00C60D4C" w:rsidRPr="00287D7A">
        <w:rPr>
          <w:rFonts w:eastAsia="Times New Roman"/>
          <w:i/>
          <w:iCs/>
        </w:rPr>
        <w:t>are an</w:t>
      </w:r>
      <w:r w:rsidR="00CB28FB" w:rsidRPr="00287D7A">
        <w:rPr>
          <w:rFonts w:eastAsia="Times New Roman"/>
          <w:i/>
          <w:iCs/>
        </w:rPr>
        <w:t>d</w:t>
      </w:r>
      <w:r w:rsidR="00CB28FB">
        <w:rPr>
          <w:rFonts w:eastAsia="Times New Roman"/>
          <w:i/>
          <w:iCs/>
        </w:rPr>
        <w:t xml:space="preserve"> click on each of the numbers to reveal additional information.</w:t>
      </w:r>
      <w:r w:rsidR="00CB28FB" w:rsidRPr="00CB28FB">
        <w:rPr>
          <w:rFonts w:eastAsia="Times New Roman"/>
        </w:rPr>
        <w:t xml:space="preserve"> </w:t>
      </w:r>
      <w:r w:rsidR="00CB28FB" w:rsidRPr="00C60D4C">
        <w:rPr>
          <w:rFonts w:eastAsia="Times New Roman"/>
        </w:rPr>
        <w:t>ALF is defined by the presence of ALL three of the following criteria: 1) acute liver injury, 2) coagulopathy, and 3) hepatic encephalopathy</w:t>
      </w:r>
    </w:p>
    <w:p w14:paraId="06A97CF6" w14:textId="15ECD4CD" w:rsidR="00C60D4C" w:rsidRDefault="4DC558BB" w:rsidP="00C60D4C">
      <w:pPr>
        <w:pStyle w:val="ListParagraph"/>
        <w:numPr>
          <w:ilvl w:val="0"/>
          <w:numId w:val="9"/>
        </w:numPr>
        <w:spacing w:after="0" w:line="240" w:lineRule="auto"/>
        <w:outlineLvl w:val="1"/>
        <w:rPr>
          <w:rFonts w:eastAsia="Times New Roman"/>
        </w:rPr>
      </w:pPr>
      <w:r w:rsidRPr="00C60D4C">
        <w:rPr>
          <w:rFonts w:eastAsia="Times New Roman"/>
          <w:b/>
          <w:bCs/>
        </w:rPr>
        <w:t>Acute liver injury</w:t>
      </w:r>
      <w:r w:rsidRPr="63684211">
        <w:rPr>
          <w:rFonts w:eastAsia="Times New Roman"/>
        </w:rPr>
        <w:t xml:space="preserve"> </w:t>
      </w:r>
      <w:r w:rsidR="00EF123E" w:rsidRPr="63684211">
        <w:rPr>
          <w:rFonts w:eastAsia="Times New Roman"/>
        </w:rPr>
        <w:t>typically manifests as</w:t>
      </w:r>
      <w:r w:rsidRPr="63684211">
        <w:rPr>
          <w:rFonts w:eastAsia="Times New Roman"/>
        </w:rPr>
        <w:t xml:space="preserve"> elevated transaminases (ALT/AST)</w:t>
      </w:r>
      <w:r w:rsidR="7DE80F6D" w:rsidRPr="63684211">
        <w:rPr>
          <w:rFonts w:eastAsia="Times New Roman"/>
        </w:rPr>
        <w:t xml:space="preserve"> and bilirubin, although elevations in alkaline phosphatase can also be seen to a lesser degree. </w:t>
      </w:r>
      <w:proofErr w:type="gramStart"/>
      <w:r w:rsidR="7DE80F6D" w:rsidRPr="63684211">
        <w:rPr>
          <w:rFonts w:eastAsia="Times New Roman"/>
        </w:rPr>
        <w:t>By definition, onset</w:t>
      </w:r>
      <w:proofErr w:type="gramEnd"/>
      <w:r w:rsidR="7DE80F6D" w:rsidRPr="63684211">
        <w:rPr>
          <w:rFonts w:eastAsia="Times New Roman"/>
        </w:rPr>
        <w:t xml:space="preserve"> of liver inflammation must have started within the past 26 weeks </w:t>
      </w:r>
      <w:r w:rsidR="44A88CBA" w:rsidRPr="63684211">
        <w:rPr>
          <w:rFonts w:eastAsia="Times New Roman"/>
        </w:rPr>
        <w:t xml:space="preserve">and </w:t>
      </w:r>
      <w:r w:rsidR="005B6574">
        <w:rPr>
          <w:rFonts w:eastAsia="Times New Roman"/>
        </w:rPr>
        <w:t>occurs in the absence of underlying chronic liver disease</w:t>
      </w:r>
      <w:r w:rsidR="00C60D4C">
        <w:rPr>
          <w:rFonts w:eastAsia="Times New Roman"/>
        </w:rPr>
        <w:t>. Notable exceptions include patients with autoimmune hepatitis, Wilson’s disease, or hepatitis B</w:t>
      </w:r>
      <w:r w:rsidR="00CB28FB">
        <w:rPr>
          <w:rFonts w:eastAsia="Times New Roman"/>
        </w:rPr>
        <w:t xml:space="preserve">, </w:t>
      </w:r>
      <w:r w:rsidR="00C60D4C">
        <w:rPr>
          <w:rFonts w:eastAsia="Times New Roman"/>
        </w:rPr>
        <w:t>where ALF can occur in the setting of preexisting liver disease.</w:t>
      </w:r>
    </w:p>
    <w:p w14:paraId="32E24B03" w14:textId="6679F858" w:rsidR="00C60D4C" w:rsidRDefault="00330BA6" w:rsidP="00C60D4C">
      <w:pPr>
        <w:pStyle w:val="ListParagraph"/>
        <w:numPr>
          <w:ilvl w:val="0"/>
          <w:numId w:val="9"/>
        </w:numPr>
        <w:spacing w:after="0" w:line="240" w:lineRule="auto"/>
        <w:outlineLvl w:val="1"/>
        <w:rPr>
          <w:rFonts w:eastAsia="Times New Roman"/>
        </w:rPr>
      </w:pPr>
      <w:r w:rsidRPr="00330BA6">
        <w:rPr>
          <w:noProof/>
        </w:rPr>
        <w:drawing>
          <wp:anchor distT="0" distB="0" distL="114300" distR="114300" simplePos="0" relativeHeight="251660288" behindDoc="0" locked="0" layoutInCell="1" allowOverlap="1" wp14:anchorId="26309FFF" wp14:editId="2EFF5F03">
            <wp:simplePos x="0" y="0"/>
            <wp:positionH relativeFrom="column">
              <wp:posOffset>3702050</wp:posOffset>
            </wp:positionH>
            <wp:positionV relativeFrom="paragraph">
              <wp:posOffset>269240</wp:posOffset>
            </wp:positionV>
            <wp:extent cx="3175000" cy="2216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688248C6" w:rsidRPr="00C60D4C">
        <w:rPr>
          <w:rFonts w:eastAsia="Times New Roman"/>
          <w:b/>
          <w:bCs/>
        </w:rPr>
        <w:t>Coagulopathy</w:t>
      </w:r>
      <w:r w:rsidR="688248C6" w:rsidRPr="00C60D4C">
        <w:rPr>
          <w:rFonts w:eastAsia="Times New Roman"/>
        </w:rPr>
        <w:t xml:space="preserve"> is defined by an INR &gt; 1.5 (in the absence of warfarin or other anticoagulation). </w:t>
      </w:r>
      <w:r w:rsidR="1832B271" w:rsidRPr="00C60D4C">
        <w:rPr>
          <w:rFonts w:eastAsia="Times New Roman"/>
        </w:rPr>
        <w:t>Coagulopathy is a marker of synthetic dysfunction of the liver as the inability to produce clotting factors results in derangements in clotting parameters (</w:t>
      </w:r>
      <w:r w:rsidR="00EA68C3" w:rsidRPr="00C60D4C">
        <w:rPr>
          <w:rFonts w:eastAsia="Times New Roman"/>
        </w:rPr>
        <w:t>i.e.</w:t>
      </w:r>
      <w:r w:rsidR="00EA68C3">
        <w:rPr>
          <w:rFonts w:eastAsia="Times New Roman"/>
        </w:rPr>
        <w:t>,</w:t>
      </w:r>
      <w:r w:rsidR="1832B271" w:rsidRPr="00C60D4C">
        <w:rPr>
          <w:rFonts w:eastAsia="Times New Roman"/>
        </w:rPr>
        <w:t xml:space="preserve"> INR). </w:t>
      </w:r>
      <w:r w:rsidR="00772085" w:rsidRPr="00C60D4C">
        <w:rPr>
          <w:rFonts w:eastAsia="Times New Roman"/>
        </w:rPr>
        <w:t xml:space="preserve">Elevated INR is a key prognostic factor in ALF. </w:t>
      </w:r>
    </w:p>
    <w:p w14:paraId="02A861AE" w14:textId="6B04D167" w:rsidR="1832B271" w:rsidRPr="00C60D4C" w:rsidRDefault="1832B271" w:rsidP="00C60D4C">
      <w:pPr>
        <w:pStyle w:val="ListParagraph"/>
        <w:numPr>
          <w:ilvl w:val="0"/>
          <w:numId w:val="9"/>
        </w:numPr>
        <w:spacing w:after="0" w:line="240" w:lineRule="auto"/>
        <w:outlineLvl w:val="1"/>
        <w:rPr>
          <w:rFonts w:eastAsia="Times New Roman"/>
        </w:rPr>
      </w:pPr>
      <w:r w:rsidRPr="00C60D4C">
        <w:rPr>
          <w:rFonts w:eastAsia="Times New Roman"/>
          <w:b/>
          <w:bCs/>
        </w:rPr>
        <w:t>Hepatic encephalopathy</w:t>
      </w:r>
      <w:r w:rsidRPr="00C60D4C">
        <w:rPr>
          <w:rFonts w:eastAsia="Times New Roman"/>
        </w:rPr>
        <w:t xml:space="preserve"> (HE) is often</w:t>
      </w:r>
      <w:r w:rsidR="00EF123E" w:rsidRPr="00C60D4C">
        <w:rPr>
          <w:rFonts w:eastAsia="Times New Roman"/>
        </w:rPr>
        <w:t xml:space="preserve"> </w:t>
      </w:r>
      <w:r w:rsidRPr="00C60D4C">
        <w:rPr>
          <w:rFonts w:eastAsia="Times New Roman"/>
        </w:rPr>
        <w:t xml:space="preserve">the last component to present and helps to differentiate acute liver injury from acute liver failure. </w:t>
      </w:r>
      <w:r w:rsidR="00EF123E" w:rsidRPr="00C60D4C">
        <w:rPr>
          <w:rFonts w:eastAsia="Times New Roman"/>
        </w:rPr>
        <w:t>HE is</w:t>
      </w:r>
      <w:r w:rsidR="3C0C6E7D" w:rsidRPr="00C60D4C">
        <w:rPr>
          <w:rFonts w:eastAsia="Times New Roman"/>
        </w:rPr>
        <w:t xml:space="preserve"> graded </w:t>
      </w:r>
      <w:r w:rsidR="00EF123E" w:rsidRPr="00C60D4C">
        <w:rPr>
          <w:rFonts w:eastAsia="Times New Roman"/>
        </w:rPr>
        <w:t>on a scale of I</w:t>
      </w:r>
      <w:r w:rsidR="00751015" w:rsidRPr="00C60D4C">
        <w:rPr>
          <w:rFonts w:eastAsia="Times New Roman"/>
        </w:rPr>
        <w:t>-</w:t>
      </w:r>
      <w:r w:rsidR="00EF123E" w:rsidRPr="00C60D4C">
        <w:rPr>
          <w:rFonts w:eastAsia="Times New Roman"/>
        </w:rPr>
        <w:t xml:space="preserve">IV </w:t>
      </w:r>
      <w:r w:rsidR="3C0C6E7D" w:rsidRPr="00C60D4C">
        <w:rPr>
          <w:rFonts w:eastAsia="Times New Roman"/>
        </w:rPr>
        <w:t xml:space="preserve">using the West Haven Criteria </w:t>
      </w:r>
      <w:r w:rsidR="21C5777A" w:rsidRPr="00C60D4C">
        <w:rPr>
          <w:rFonts w:eastAsia="Times New Roman"/>
        </w:rPr>
        <w:t xml:space="preserve">with more severe HE </w:t>
      </w:r>
      <w:proofErr w:type="gramStart"/>
      <w:r w:rsidR="21C5777A" w:rsidRPr="00C60D4C">
        <w:rPr>
          <w:rFonts w:eastAsia="Times New Roman"/>
        </w:rPr>
        <w:t>correlating</w:t>
      </w:r>
      <w:proofErr w:type="gramEnd"/>
      <w:r w:rsidR="21C5777A" w:rsidRPr="00C60D4C">
        <w:rPr>
          <w:rFonts w:eastAsia="Times New Roman"/>
        </w:rPr>
        <w:t xml:space="preserve"> with higher risk of ALF complications, particularly cerebral edema. HE can range from mild, with small changes in behavior or sleep-wake cycles, to severe with </w:t>
      </w:r>
      <w:r w:rsidR="2AD40A61" w:rsidRPr="00C60D4C">
        <w:rPr>
          <w:rFonts w:eastAsia="Times New Roman"/>
        </w:rPr>
        <w:t xml:space="preserve">lack of responsiveness or coma. </w:t>
      </w:r>
    </w:p>
    <w:p w14:paraId="65C102D2" w14:textId="5606BD4C" w:rsidR="4622180E" w:rsidRDefault="4622180E" w:rsidP="4622180E">
      <w:pPr>
        <w:spacing w:after="0" w:line="240" w:lineRule="auto"/>
        <w:ind w:left="360" w:firstLine="360"/>
        <w:outlineLvl w:val="1"/>
        <w:rPr>
          <w:rFonts w:eastAsia="Times New Roman"/>
        </w:rPr>
      </w:pPr>
    </w:p>
    <w:p w14:paraId="56239674" w14:textId="2368D25F" w:rsidR="00213B29" w:rsidRPr="00EA68C3" w:rsidRDefault="00213B29" w:rsidP="00CB4AB8">
      <w:pPr>
        <w:shd w:val="clear" w:color="auto" w:fill="FEFEFE"/>
        <w:spacing w:after="0" w:line="240" w:lineRule="auto"/>
        <w:rPr>
          <w:rFonts w:eastAsia="Times New Roman"/>
          <w:b/>
          <w:bCs/>
        </w:rPr>
      </w:pPr>
      <w:r w:rsidRPr="00EA68C3">
        <w:rPr>
          <w:rFonts w:eastAsia="Times New Roman"/>
          <w:b/>
          <w:bCs/>
          <w:spacing w:val="4"/>
          <w:u w:val="single"/>
        </w:rPr>
        <w:t>Objective 2</w:t>
      </w:r>
      <w:r w:rsidRPr="4622180E">
        <w:rPr>
          <w:rFonts w:eastAsia="Times New Roman"/>
          <w:b/>
          <w:bCs/>
          <w:spacing w:val="4"/>
        </w:rPr>
        <w:t>:</w:t>
      </w:r>
      <w:r w:rsidRPr="4622180E">
        <w:rPr>
          <w:rFonts w:eastAsia="Times New Roman"/>
          <w:spacing w:val="4"/>
        </w:rPr>
        <w:t> </w:t>
      </w:r>
      <w:r w:rsidR="00CB28FB" w:rsidRPr="00EA68C3">
        <w:rPr>
          <w:rFonts w:eastAsia="Times New Roman"/>
          <w:b/>
          <w:bCs/>
          <w:i/>
          <w:iCs/>
        </w:rPr>
        <w:t xml:space="preserve">Evaluate a patient with ALF and identify </w:t>
      </w:r>
      <w:r w:rsidR="00761CB7" w:rsidRPr="00EA68C3">
        <w:rPr>
          <w:rFonts w:eastAsia="Times New Roman"/>
          <w:b/>
          <w:bCs/>
          <w:i/>
          <w:iCs/>
        </w:rPr>
        <w:t>the most common causes</w:t>
      </w:r>
      <w:r w:rsidR="00CB28FB" w:rsidRPr="00EA68C3">
        <w:rPr>
          <w:rFonts w:eastAsia="Times New Roman"/>
          <w:b/>
          <w:bCs/>
          <w:i/>
          <w:iCs/>
        </w:rPr>
        <w:t>.</w:t>
      </w:r>
      <w:r w:rsidR="00EA68C3">
        <w:rPr>
          <w:rFonts w:eastAsia="Times New Roman"/>
          <w:b/>
          <w:bCs/>
        </w:rPr>
        <w:t xml:space="preserve"> (Etiologies)</w:t>
      </w:r>
    </w:p>
    <w:p w14:paraId="6AD521FF" w14:textId="2E77B30D" w:rsidR="00EF123E" w:rsidRPr="00071611" w:rsidRDefault="68D6CB3E" w:rsidP="00CB4AB8">
      <w:pPr>
        <w:shd w:val="clear" w:color="auto" w:fill="FEFEFE"/>
        <w:spacing w:after="0" w:line="240" w:lineRule="auto"/>
        <w:rPr>
          <w:rFonts w:eastAsia="Times New Roman"/>
          <w:i/>
          <w:iCs/>
        </w:rPr>
      </w:pPr>
      <w:r w:rsidRPr="00CB4AB8">
        <w:rPr>
          <w:rFonts w:eastAsia="Times New Roman"/>
        </w:rPr>
        <w:t>There are numerous potential etiologies of ALF</w:t>
      </w:r>
      <w:r w:rsidR="00EF123E">
        <w:rPr>
          <w:rFonts w:eastAsia="Times New Roman"/>
        </w:rPr>
        <w:t>. Four broad categories from the most to least common</w:t>
      </w:r>
      <w:r w:rsidR="001D0210">
        <w:rPr>
          <w:rFonts w:eastAsia="Times New Roman"/>
        </w:rPr>
        <w:t xml:space="preserve"> (in the United States)</w:t>
      </w:r>
      <w:r w:rsidR="00EF123E">
        <w:rPr>
          <w:rFonts w:eastAsia="Times New Roman"/>
        </w:rPr>
        <w:t xml:space="preserve"> include:</w:t>
      </w:r>
      <w:r w:rsidRPr="007344C2">
        <w:rPr>
          <w:rFonts w:eastAsia="Times New Roman"/>
        </w:rPr>
        <w:t xml:space="preserve"> 1)</w:t>
      </w:r>
      <w:r w:rsidR="00EA68C3">
        <w:rPr>
          <w:rFonts w:eastAsia="Times New Roman"/>
        </w:rPr>
        <w:t xml:space="preserve"> drugs</w:t>
      </w:r>
      <w:r w:rsidRPr="007344C2">
        <w:rPr>
          <w:rFonts w:eastAsia="Times New Roman"/>
        </w:rPr>
        <w:t xml:space="preserve">/toxins, 2) viral causes, 3) ischemic/vascular causes, and 4) other/miscellaneous. </w:t>
      </w:r>
      <w:r w:rsidR="00CB28FB">
        <w:rPr>
          <w:rFonts w:eastAsia="Times New Roman"/>
          <w:i/>
          <w:iCs/>
        </w:rPr>
        <w:t xml:space="preserve">Prompt your learners to provide a differential for each category of etiologies. Click once to reveal the differential diagnosis. Click again to reveal the work-up.  </w:t>
      </w:r>
    </w:p>
    <w:p w14:paraId="1A56BCCC" w14:textId="28FF7416" w:rsidR="00217C0B" w:rsidRDefault="00CB28FB" w:rsidP="00071611">
      <w:pPr>
        <w:pStyle w:val="ListParagraph"/>
        <w:numPr>
          <w:ilvl w:val="0"/>
          <w:numId w:val="6"/>
        </w:numPr>
        <w:shd w:val="clear" w:color="auto" w:fill="FEFEFE"/>
        <w:spacing w:after="0" w:line="240" w:lineRule="auto"/>
        <w:ind w:left="900" w:hanging="540"/>
        <w:rPr>
          <w:rFonts w:eastAsia="Times New Roman"/>
        </w:rPr>
      </w:pPr>
      <w:r w:rsidRPr="00071611">
        <w:rPr>
          <w:rFonts w:eastAsia="Times New Roman"/>
          <w:b/>
          <w:bCs/>
        </w:rPr>
        <w:t>Drugs/Toxins:</w:t>
      </w:r>
      <w:r>
        <w:rPr>
          <w:rFonts w:eastAsia="Times New Roman"/>
        </w:rPr>
        <w:t xml:space="preserve"> </w:t>
      </w:r>
      <w:r w:rsidR="4C0D7801" w:rsidRPr="63684211">
        <w:rPr>
          <w:rFonts w:eastAsia="Times New Roman"/>
        </w:rPr>
        <w:t xml:space="preserve">In the United States and Europe, </w:t>
      </w:r>
      <w:proofErr w:type="gramStart"/>
      <w:r w:rsidR="4C0D7801" w:rsidRPr="63684211">
        <w:rPr>
          <w:rFonts w:eastAsia="Times New Roman"/>
        </w:rPr>
        <w:t>drugs</w:t>
      </w:r>
      <w:proofErr w:type="gramEnd"/>
      <w:r w:rsidR="4C0D7801" w:rsidRPr="63684211">
        <w:rPr>
          <w:rFonts w:eastAsia="Times New Roman"/>
        </w:rPr>
        <w:t xml:space="preserve"> and toxins account for ~50% of ALF cases. </w:t>
      </w:r>
      <w:r w:rsidR="00EF123E" w:rsidRPr="63684211">
        <w:rPr>
          <w:rFonts w:eastAsia="Times New Roman"/>
        </w:rPr>
        <w:t>Acetaminophen</w:t>
      </w:r>
      <w:r w:rsidR="001D0210" w:rsidRPr="63684211">
        <w:rPr>
          <w:rFonts w:eastAsia="Times New Roman"/>
        </w:rPr>
        <w:t xml:space="preserve"> </w:t>
      </w:r>
      <w:r>
        <w:rPr>
          <w:rFonts w:eastAsia="Times New Roman"/>
        </w:rPr>
        <w:t xml:space="preserve">(APAP) </w:t>
      </w:r>
      <w:r w:rsidR="001D0210" w:rsidRPr="63684211">
        <w:rPr>
          <w:rFonts w:eastAsia="Times New Roman"/>
        </w:rPr>
        <w:t>toxicity</w:t>
      </w:r>
      <w:r w:rsidR="00EF123E" w:rsidRPr="63684211">
        <w:rPr>
          <w:rFonts w:eastAsia="Times New Roman"/>
        </w:rPr>
        <w:t xml:space="preserve"> </w:t>
      </w:r>
      <w:r w:rsidR="00CB4AB8" w:rsidRPr="63684211">
        <w:rPr>
          <w:rFonts w:eastAsia="Times New Roman"/>
        </w:rPr>
        <w:t xml:space="preserve">is the </w:t>
      </w:r>
      <w:r w:rsidR="00EA68C3" w:rsidRPr="63684211">
        <w:rPr>
          <w:rFonts w:eastAsia="Times New Roman"/>
        </w:rPr>
        <w:t>most encountered</w:t>
      </w:r>
      <w:r w:rsidR="001D0210" w:rsidRPr="63684211">
        <w:rPr>
          <w:rFonts w:eastAsia="Times New Roman"/>
        </w:rPr>
        <w:t xml:space="preserve"> cause although other</w:t>
      </w:r>
      <w:r w:rsidR="4C0D7801" w:rsidRPr="63684211">
        <w:rPr>
          <w:rFonts w:eastAsia="Times New Roman"/>
        </w:rPr>
        <w:t xml:space="preserve"> notable drugs/toxins include herbal supplements and the </w:t>
      </w:r>
      <w:r w:rsidR="4C0D7801" w:rsidRPr="63684211">
        <w:rPr>
          <w:rFonts w:eastAsia="Times New Roman"/>
          <w:i/>
          <w:iCs/>
        </w:rPr>
        <w:t xml:space="preserve">Amanita phalloides </w:t>
      </w:r>
      <w:r w:rsidR="4C0D7801" w:rsidRPr="63684211">
        <w:rPr>
          <w:rFonts w:eastAsia="Times New Roman"/>
        </w:rPr>
        <w:t xml:space="preserve">mushroom. </w:t>
      </w:r>
    </w:p>
    <w:p w14:paraId="1E1D2B9A" w14:textId="62D214D5" w:rsidR="00CB4AB8" w:rsidRDefault="00CB28FB" w:rsidP="00EA68C3">
      <w:pPr>
        <w:pStyle w:val="ListParagraph"/>
        <w:numPr>
          <w:ilvl w:val="0"/>
          <w:numId w:val="12"/>
        </w:numPr>
        <w:shd w:val="clear" w:color="auto" w:fill="FEFEFE"/>
        <w:spacing w:after="0" w:line="240" w:lineRule="auto"/>
        <w:rPr>
          <w:rFonts w:eastAsia="Times New Roman"/>
        </w:rPr>
      </w:pPr>
      <w:r>
        <w:rPr>
          <w:rFonts w:eastAsia="Times New Roman"/>
        </w:rPr>
        <w:lastRenderedPageBreak/>
        <w:t xml:space="preserve">Initial evaluation should include acetaminophen level, toxicology screen, and thorough </w:t>
      </w:r>
      <w:r w:rsidR="00EA68C3">
        <w:rPr>
          <w:rFonts w:eastAsia="Times New Roman"/>
        </w:rPr>
        <w:t>medication and</w:t>
      </w:r>
      <w:r w:rsidR="008152BE">
        <w:rPr>
          <w:rFonts w:eastAsia="Times New Roman"/>
        </w:rPr>
        <w:t xml:space="preserve"> </w:t>
      </w:r>
      <w:r>
        <w:rPr>
          <w:rFonts w:eastAsia="Times New Roman"/>
        </w:rPr>
        <w:t xml:space="preserve">supplement review. Medications and supplements should be cross referenced with </w:t>
      </w:r>
      <w:proofErr w:type="spellStart"/>
      <w:r>
        <w:rPr>
          <w:rFonts w:eastAsia="Times New Roman"/>
        </w:rPr>
        <w:t>LiverTox</w:t>
      </w:r>
      <w:proofErr w:type="spellEnd"/>
      <w:r>
        <w:rPr>
          <w:rFonts w:eastAsia="Times New Roman"/>
        </w:rPr>
        <w:t xml:space="preserve"> (</w:t>
      </w:r>
      <w:r w:rsidR="008152BE">
        <w:rPr>
          <w:rStyle w:val="Hyperlink"/>
          <w:rFonts w:eastAsia="Times New Roman"/>
        </w:rPr>
        <w:t>livertox.nih.gov</w:t>
      </w:r>
      <w:r>
        <w:rPr>
          <w:rFonts w:eastAsia="Times New Roman"/>
        </w:rPr>
        <w:t xml:space="preserve">), a repository of medications </w:t>
      </w:r>
      <w:r w:rsidR="008152BE">
        <w:rPr>
          <w:rFonts w:eastAsia="Times New Roman"/>
        </w:rPr>
        <w:t xml:space="preserve">with associated information on </w:t>
      </w:r>
      <w:r w:rsidR="00217C0B">
        <w:rPr>
          <w:rFonts w:eastAsia="Times New Roman"/>
        </w:rPr>
        <w:t xml:space="preserve">hepatotoxicity. </w:t>
      </w:r>
      <w:r>
        <w:rPr>
          <w:rFonts w:eastAsia="Times New Roman"/>
        </w:rPr>
        <w:t xml:space="preserve"> </w:t>
      </w:r>
    </w:p>
    <w:p w14:paraId="1B5FBFD2" w14:textId="48C04E38" w:rsidR="00217C0B" w:rsidRDefault="00217C0B" w:rsidP="00EA68C3">
      <w:pPr>
        <w:pStyle w:val="ListParagraph"/>
        <w:numPr>
          <w:ilvl w:val="0"/>
          <w:numId w:val="12"/>
        </w:numPr>
        <w:shd w:val="clear" w:color="auto" w:fill="FEFEFE"/>
        <w:spacing w:after="0" w:line="240" w:lineRule="auto"/>
        <w:rPr>
          <w:rFonts w:eastAsia="Times New Roman"/>
        </w:rPr>
      </w:pPr>
      <w:r w:rsidRPr="63684211">
        <w:rPr>
          <w:rFonts w:eastAsia="Times New Roman"/>
        </w:rPr>
        <w:t>It’s important to note that alcohol is NOT a cause of acute liver failure, although it may increase severity of another insult (e.g., APAP toxicity).</w:t>
      </w:r>
    </w:p>
    <w:p w14:paraId="57C50116" w14:textId="4FB95CF3" w:rsidR="00217C0B" w:rsidRDefault="00CB28FB" w:rsidP="00071611">
      <w:pPr>
        <w:pStyle w:val="ListParagraph"/>
        <w:numPr>
          <w:ilvl w:val="0"/>
          <w:numId w:val="6"/>
        </w:numPr>
        <w:shd w:val="clear" w:color="auto" w:fill="FEFEFE"/>
        <w:tabs>
          <w:tab w:val="left" w:pos="810"/>
        </w:tabs>
        <w:spacing w:after="0" w:line="240" w:lineRule="auto"/>
        <w:ind w:left="900" w:hanging="540"/>
        <w:rPr>
          <w:rFonts w:eastAsia="Times New Roman"/>
        </w:rPr>
      </w:pPr>
      <w:r w:rsidRPr="00071611">
        <w:rPr>
          <w:rFonts w:eastAsia="Times New Roman"/>
          <w:b/>
          <w:bCs/>
        </w:rPr>
        <w:t>Viral</w:t>
      </w:r>
      <w:r>
        <w:rPr>
          <w:rFonts w:eastAsia="Times New Roman"/>
        </w:rPr>
        <w:t xml:space="preserve">: </w:t>
      </w:r>
      <w:r w:rsidR="4C0D7801" w:rsidRPr="00CB4AB8">
        <w:rPr>
          <w:rFonts w:eastAsia="Times New Roman"/>
        </w:rPr>
        <w:t>In Asia and other parts of the world, viral hepatitis accounts for greater</w:t>
      </w:r>
      <w:r w:rsidR="58C53B51" w:rsidRPr="00CB4AB8">
        <w:rPr>
          <w:rFonts w:eastAsia="Times New Roman"/>
        </w:rPr>
        <w:t xml:space="preserve"> than 50% of cases. The most common viruses are hepatitis A, B, D, &amp; E although HSV</w:t>
      </w:r>
      <w:r w:rsidR="00456795">
        <w:rPr>
          <w:rFonts w:eastAsia="Times New Roman"/>
        </w:rPr>
        <w:t xml:space="preserve"> and VZV</w:t>
      </w:r>
      <w:r w:rsidR="58C53B51" w:rsidRPr="00CB4AB8">
        <w:rPr>
          <w:rFonts w:eastAsia="Times New Roman"/>
        </w:rPr>
        <w:t xml:space="preserve"> can also cause ALF in rare circumstances.</w:t>
      </w:r>
    </w:p>
    <w:p w14:paraId="01C59381" w14:textId="59BBA48E" w:rsidR="00217C0B" w:rsidRPr="00071611" w:rsidRDefault="00217C0B" w:rsidP="00EA68C3">
      <w:pPr>
        <w:pStyle w:val="ListParagraph"/>
        <w:numPr>
          <w:ilvl w:val="0"/>
          <w:numId w:val="13"/>
        </w:numPr>
        <w:shd w:val="clear" w:color="auto" w:fill="FEFEFE"/>
        <w:spacing w:after="0" w:line="240" w:lineRule="auto"/>
        <w:rPr>
          <w:rFonts w:eastAsia="Times New Roman"/>
        </w:rPr>
      </w:pPr>
      <w:r w:rsidRPr="00071611">
        <w:rPr>
          <w:rFonts w:eastAsia="Times New Roman"/>
        </w:rPr>
        <w:t xml:space="preserve">Initial evaluation should include viral hepatitis serologies and PCRs (given that serologies may be negative in the acute setting). </w:t>
      </w:r>
      <w:r w:rsidRPr="63684211">
        <w:rPr>
          <w:rFonts w:eastAsia="Times New Roman"/>
        </w:rPr>
        <w:t>HIV serologies are typically checked given the risk of co-viral transmission, although HIV itself is not a cause of ALF.</w:t>
      </w:r>
    </w:p>
    <w:p w14:paraId="3A222D2F" w14:textId="60348389" w:rsidR="00CB4AB8" w:rsidRDefault="00217C0B" w:rsidP="00071611">
      <w:pPr>
        <w:pStyle w:val="ListParagraph"/>
        <w:numPr>
          <w:ilvl w:val="0"/>
          <w:numId w:val="6"/>
        </w:numPr>
        <w:shd w:val="clear" w:color="auto" w:fill="FEFEFE"/>
        <w:spacing w:after="0" w:line="240" w:lineRule="auto"/>
        <w:ind w:left="720"/>
        <w:rPr>
          <w:rFonts w:eastAsia="Times New Roman"/>
        </w:rPr>
      </w:pPr>
      <w:r w:rsidRPr="00B27047">
        <w:rPr>
          <w:rFonts w:eastAsia="Times New Roman"/>
          <w:b/>
          <w:bCs/>
        </w:rPr>
        <w:t>I</w:t>
      </w:r>
      <w:r w:rsidR="5D7182DD" w:rsidRPr="00B27047">
        <w:rPr>
          <w:rFonts w:eastAsia="Times New Roman"/>
          <w:b/>
          <w:bCs/>
        </w:rPr>
        <w:t>schemic/vascular</w:t>
      </w:r>
      <w:r>
        <w:rPr>
          <w:rFonts w:eastAsia="Times New Roman"/>
        </w:rPr>
        <w:t>:</w:t>
      </w:r>
      <w:r w:rsidR="5D7182DD" w:rsidRPr="63684211">
        <w:rPr>
          <w:rFonts w:eastAsia="Times New Roman"/>
        </w:rPr>
        <w:t xml:space="preserve"> </w:t>
      </w:r>
      <w:r>
        <w:rPr>
          <w:rFonts w:eastAsia="Times New Roman"/>
        </w:rPr>
        <w:t>These include</w:t>
      </w:r>
      <w:r w:rsidR="5D7182DD" w:rsidRPr="63684211">
        <w:rPr>
          <w:rFonts w:eastAsia="Times New Roman"/>
        </w:rPr>
        <w:t xml:space="preserve"> Budd-Chiari (hepatic vein clot)</w:t>
      </w:r>
      <w:r w:rsidR="001D0210" w:rsidRPr="63684211">
        <w:rPr>
          <w:rFonts w:eastAsia="Times New Roman"/>
        </w:rPr>
        <w:t>, acute hepatic artery thrombosis,</w:t>
      </w:r>
      <w:r w:rsidR="5D7182DD" w:rsidRPr="63684211">
        <w:rPr>
          <w:rFonts w:eastAsia="Times New Roman"/>
        </w:rPr>
        <w:t xml:space="preserve"> as well as ischemic hepatitis or shock liver, which usually occur </w:t>
      </w:r>
      <w:r w:rsidR="6CE6AC28" w:rsidRPr="63684211">
        <w:rPr>
          <w:rFonts w:eastAsia="Times New Roman"/>
        </w:rPr>
        <w:t>secondary to</w:t>
      </w:r>
      <w:r w:rsidR="5D7182DD" w:rsidRPr="63684211">
        <w:rPr>
          <w:rFonts w:eastAsia="Times New Roman"/>
        </w:rPr>
        <w:t xml:space="preserve"> a </w:t>
      </w:r>
      <w:r w:rsidR="0D943990" w:rsidRPr="63684211">
        <w:rPr>
          <w:rFonts w:eastAsia="Times New Roman"/>
        </w:rPr>
        <w:t>primary shock state (</w:t>
      </w:r>
      <w:r w:rsidR="00EA68C3" w:rsidRPr="63684211">
        <w:rPr>
          <w:rFonts w:eastAsia="Times New Roman"/>
        </w:rPr>
        <w:t>i.e.,</w:t>
      </w:r>
      <w:r w:rsidR="0D943990" w:rsidRPr="63684211">
        <w:rPr>
          <w:rFonts w:eastAsia="Times New Roman"/>
        </w:rPr>
        <w:t xml:space="preserve"> septic shock, cardiogenic shock).</w:t>
      </w:r>
      <w:r w:rsidR="165C01FA" w:rsidRPr="63684211">
        <w:rPr>
          <w:rFonts w:eastAsia="Times New Roman"/>
        </w:rPr>
        <w:t xml:space="preserve"> </w:t>
      </w:r>
    </w:p>
    <w:p w14:paraId="5236F4AD" w14:textId="76C72DE0" w:rsidR="00217C0B" w:rsidRPr="00071611" w:rsidRDefault="00217C0B" w:rsidP="00EA68C3">
      <w:pPr>
        <w:pStyle w:val="ListParagraph"/>
        <w:numPr>
          <w:ilvl w:val="0"/>
          <w:numId w:val="14"/>
        </w:numPr>
        <w:shd w:val="clear" w:color="auto" w:fill="FEFEFE"/>
        <w:spacing w:after="0" w:line="240" w:lineRule="auto"/>
        <w:rPr>
          <w:rFonts w:eastAsia="Times New Roman"/>
        </w:rPr>
      </w:pPr>
      <w:r>
        <w:rPr>
          <w:rFonts w:eastAsia="Times New Roman"/>
        </w:rPr>
        <w:t>Evaluation for signs of shock and tissue hypoperfusion as well as a liver ultrasound with doppler can assess for vascular/ischemic etiologies.</w:t>
      </w:r>
    </w:p>
    <w:p w14:paraId="2BC01FDF" w14:textId="6BEF37A2" w:rsidR="00217C0B" w:rsidRPr="00071611" w:rsidRDefault="00217C0B" w:rsidP="00071611">
      <w:pPr>
        <w:pStyle w:val="ListParagraph"/>
        <w:numPr>
          <w:ilvl w:val="0"/>
          <w:numId w:val="6"/>
        </w:numPr>
        <w:shd w:val="clear" w:color="auto" w:fill="FEFEFE"/>
        <w:spacing w:after="0" w:line="240" w:lineRule="auto"/>
        <w:ind w:left="720"/>
        <w:rPr>
          <w:rFonts w:eastAsiaTheme="minorEastAsia"/>
        </w:rPr>
      </w:pPr>
      <w:r w:rsidRPr="00071611">
        <w:rPr>
          <w:rFonts w:eastAsia="Times New Roman"/>
          <w:b/>
          <w:bCs/>
        </w:rPr>
        <w:t>Other:</w:t>
      </w:r>
      <w:r>
        <w:rPr>
          <w:rFonts w:eastAsia="Times New Roman"/>
        </w:rPr>
        <w:t xml:space="preserve"> Other causes of ALF include</w:t>
      </w:r>
      <w:r w:rsidR="00B27047">
        <w:rPr>
          <w:rFonts w:eastAsia="Times New Roman"/>
        </w:rPr>
        <w:t>, but are not limited to,</w:t>
      </w:r>
      <w:r>
        <w:rPr>
          <w:rFonts w:eastAsia="Times New Roman"/>
        </w:rPr>
        <w:t xml:space="preserve"> autoimmune hepatitis (AIH), HELLP or acute fatty liver of pregnancy and Wilson’s disease.</w:t>
      </w:r>
    </w:p>
    <w:p w14:paraId="09AF00D3" w14:textId="66EF01D1" w:rsidR="00071611" w:rsidRDefault="00071611" w:rsidP="00EA68C3">
      <w:pPr>
        <w:pStyle w:val="ListParagraph"/>
        <w:numPr>
          <w:ilvl w:val="0"/>
          <w:numId w:val="15"/>
        </w:numPr>
        <w:shd w:val="clear" w:color="auto" w:fill="FEFEFE"/>
        <w:spacing w:after="0" w:line="240" w:lineRule="auto"/>
        <w:rPr>
          <w:rFonts w:eastAsiaTheme="minorEastAsia"/>
        </w:rPr>
      </w:pPr>
      <w:r>
        <w:rPr>
          <w:rFonts w:eastAsiaTheme="minorEastAsia"/>
        </w:rPr>
        <w:t xml:space="preserve">Patients of childbearing age should receive a pregnancy test. </w:t>
      </w:r>
    </w:p>
    <w:p w14:paraId="5E56DD41" w14:textId="02BAB4DE" w:rsidR="00217C0B" w:rsidRPr="004D1E5D" w:rsidRDefault="3E68F83F" w:rsidP="00EA68C3">
      <w:pPr>
        <w:pStyle w:val="ListParagraph"/>
        <w:numPr>
          <w:ilvl w:val="0"/>
          <w:numId w:val="15"/>
        </w:numPr>
        <w:shd w:val="clear" w:color="auto" w:fill="FEFEFE"/>
        <w:spacing w:after="0" w:line="240" w:lineRule="auto"/>
        <w:rPr>
          <w:rFonts w:eastAsia="Times New Roman"/>
        </w:rPr>
      </w:pPr>
      <w:r w:rsidRPr="63684211">
        <w:rPr>
          <w:rFonts w:eastAsia="Times New Roman"/>
        </w:rPr>
        <w:t xml:space="preserve">Depending on the clinical history and presentation, autoimmune workup consisting of ANA, anti-smooth muscle Ab, anti-LKM-1, AMA, and immunoglobin levels can be considered. </w:t>
      </w:r>
    </w:p>
    <w:p w14:paraId="0735F0E1" w14:textId="30AE6D5A" w:rsidR="004D1E5D" w:rsidRPr="004D1E5D" w:rsidRDefault="004D1E5D" w:rsidP="00EA68C3">
      <w:pPr>
        <w:pStyle w:val="ListParagraph"/>
        <w:numPr>
          <w:ilvl w:val="0"/>
          <w:numId w:val="15"/>
        </w:numPr>
        <w:shd w:val="clear" w:color="auto" w:fill="FEFEFE"/>
        <w:spacing w:after="0" w:line="240" w:lineRule="auto"/>
        <w:rPr>
          <w:rFonts w:eastAsiaTheme="minorEastAsia"/>
        </w:rPr>
      </w:pPr>
      <w:r w:rsidRPr="63684211">
        <w:rPr>
          <w:rFonts w:eastAsia="Times New Roman"/>
        </w:rPr>
        <w:t>Additional evaluation should include consideration of acute Wilson’s disease, particularly in younger patients (age &lt;55) and with an alkaline phosphatase/total bilirubin ratio of &lt; 4. Ceruloplasmin can be normal in the acute setting so workup can be expanded to include 24hr urine copper and evaluation for Kaiser-Fle</w:t>
      </w:r>
      <w:r>
        <w:rPr>
          <w:rFonts w:eastAsia="Times New Roman"/>
        </w:rPr>
        <w:t>isc</w:t>
      </w:r>
      <w:r w:rsidRPr="63684211">
        <w:rPr>
          <w:rFonts w:eastAsia="Times New Roman"/>
        </w:rPr>
        <w:t xml:space="preserve">her rings. </w:t>
      </w:r>
    </w:p>
    <w:p w14:paraId="025DEA3D" w14:textId="59EA06F9" w:rsidR="00213B29" w:rsidRPr="00CB4AB8" w:rsidRDefault="2099B6D7" w:rsidP="00EA68C3">
      <w:pPr>
        <w:pStyle w:val="ListParagraph"/>
        <w:numPr>
          <w:ilvl w:val="0"/>
          <w:numId w:val="15"/>
        </w:numPr>
        <w:shd w:val="clear" w:color="auto" w:fill="FEFEFE"/>
        <w:spacing w:after="0" w:line="240" w:lineRule="auto"/>
        <w:rPr>
          <w:rFonts w:eastAsiaTheme="minorEastAsia"/>
        </w:rPr>
      </w:pPr>
      <w:r w:rsidRPr="63684211">
        <w:rPr>
          <w:rFonts w:eastAsia="Times New Roman"/>
        </w:rPr>
        <w:t xml:space="preserve">If the initial workup is unrevealing, liver biopsy may be considered for histopathologic </w:t>
      </w:r>
      <w:r w:rsidR="00456795">
        <w:rPr>
          <w:rFonts w:eastAsia="Times New Roman"/>
        </w:rPr>
        <w:t>evaluation</w:t>
      </w:r>
      <w:r w:rsidRPr="63684211">
        <w:rPr>
          <w:rFonts w:eastAsia="Times New Roman"/>
        </w:rPr>
        <w:t>. Additional workup can be considered in the appropriate clinical setting and after consultation with a Hepatologist. Many cases of acute liver failure will not have a clear etiology and will be termed cr</w:t>
      </w:r>
      <w:r w:rsidR="22FA7775" w:rsidRPr="63684211">
        <w:rPr>
          <w:rFonts w:eastAsia="Times New Roman"/>
        </w:rPr>
        <w:t>y</w:t>
      </w:r>
      <w:r w:rsidRPr="63684211">
        <w:rPr>
          <w:rFonts w:eastAsia="Times New Roman"/>
        </w:rPr>
        <w:t xml:space="preserve">ptogenic. </w:t>
      </w:r>
    </w:p>
    <w:p w14:paraId="17780340" w14:textId="0A6861D0" w:rsidR="4622180E" w:rsidRDefault="4622180E" w:rsidP="4622180E">
      <w:pPr>
        <w:shd w:val="clear" w:color="auto" w:fill="FEFEFE"/>
        <w:spacing w:after="0" w:line="240" w:lineRule="auto"/>
        <w:ind w:left="720"/>
        <w:rPr>
          <w:rFonts w:eastAsia="Times New Roman"/>
        </w:rPr>
      </w:pPr>
    </w:p>
    <w:p w14:paraId="4206A573" w14:textId="47B4054C" w:rsidR="004232EC" w:rsidRPr="004232EC" w:rsidRDefault="00213B29" w:rsidP="00751015">
      <w:pPr>
        <w:spacing w:after="0" w:line="240" w:lineRule="auto"/>
        <w:outlineLvl w:val="1"/>
        <w:rPr>
          <w:rFonts w:eastAsia="Times New Roman"/>
          <w:b/>
          <w:bCs/>
        </w:rPr>
      </w:pPr>
      <w:r w:rsidRPr="00EA68C3">
        <w:rPr>
          <w:rFonts w:eastAsia="Times New Roman"/>
          <w:b/>
          <w:bCs/>
          <w:spacing w:val="4"/>
          <w:u w:val="single"/>
        </w:rPr>
        <w:t>Objective 3</w:t>
      </w:r>
      <w:r w:rsidRPr="4622180E">
        <w:rPr>
          <w:rFonts w:eastAsia="Times New Roman"/>
          <w:b/>
          <w:bCs/>
          <w:spacing w:val="4"/>
        </w:rPr>
        <w:t>:</w:t>
      </w:r>
      <w:r w:rsidRPr="4622180E">
        <w:rPr>
          <w:rFonts w:eastAsia="Times New Roman"/>
          <w:spacing w:val="4"/>
        </w:rPr>
        <w:t> </w:t>
      </w:r>
      <w:r w:rsidR="004232EC" w:rsidRPr="004232EC">
        <w:rPr>
          <w:rFonts w:eastAsia="Times New Roman" w:cstheme="minorHAnsi"/>
          <w:b/>
          <w:bCs/>
          <w:i/>
          <w:iCs/>
        </w:rPr>
        <w:t>Develop a framework to guide initial management of acute liver failure</w:t>
      </w:r>
      <w:r w:rsidR="00761CB7" w:rsidRPr="004232EC">
        <w:rPr>
          <w:rFonts w:eastAsia="Times New Roman"/>
          <w:b/>
          <w:bCs/>
          <w:i/>
          <w:iCs/>
        </w:rPr>
        <w:t>.</w:t>
      </w:r>
      <w:r w:rsidR="00761CB7" w:rsidRPr="004232EC">
        <w:rPr>
          <w:rFonts w:eastAsia="Times New Roman"/>
          <w:b/>
          <w:bCs/>
        </w:rPr>
        <w:t xml:space="preserve"> </w:t>
      </w:r>
      <w:r w:rsidR="004232EC">
        <w:rPr>
          <w:rFonts w:eastAsia="Times New Roman"/>
          <w:b/>
          <w:bCs/>
        </w:rPr>
        <w:t>(Management)</w:t>
      </w:r>
    </w:p>
    <w:p w14:paraId="69C91C9B" w14:textId="70D9F64E" w:rsidR="000F5E89" w:rsidRPr="007D4CF6" w:rsidRDefault="70B8219F" w:rsidP="00751015">
      <w:pPr>
        <w:spacing w:after="0" w:line="240" w:lineRule="auto"/>
        <w:outlineLvl w:val="1"/>
        <w:rPr>
          <w:rFonts w:eastAsia="Times New Roman"/>
          <w:i/>
          <w:iCs/>
        </w:rPr>
      </w:pPr>
      <w:r w:rsidRPr="2BEB3E3B">
        <w:rPr>
          <w:rFonts w:eastAsia="Times New Roman"/>
        </w:rPr>
        <w:t>There are several over-arching concepts when it comes to caring for a patient with ALF.</w:t>
      </w:r>
      <w:r w:rsidR="004D1E5D">
        <w:rPr>
          <w:rFonts w:eastAsia="Times New Roman"/>
        </w:rPr>
        <w:t xml:space="preserve"> Given the high risk of complications, patients with ALF should be managed in the ICU.</w:t>
      </w:r>
      <w:r w:rsidRPr="2BEB3E3B">
        <w:rPr>
          <w:rFonts w:eastAsia="Times New Roman"/>
        </w:rPr>
        <w:t xml:space="preserve"> </w:t>
      </w:r>
      <w:r w:rsidR="007D4CF6">
        <w:rPr>
          <w:rFonts w:eastAsia="Times New Roman"/>
          <w:i/>
          <w:iCs/>
        </w:rPr>
        <w:t>Click on each step to reveal additional information.</w:t>
      </w:r>
    </w:p>
    <w:p w14:paraId="1FC511CC" w14:textId="41FCBE06" w:rsidR="00751015" w:rsidRPr="000F5E89" w:rsidRDefault="00071611" w:rsidP="00071611">
      <w:pPr>
        <w:pStyle w:val="ListParagraph"/>
        <w:numPr>
          <w:ilvl w:val="0"/>
          <w:numId w:val="10"/>
        </w:numPr>
        <w:spacing w:after="0" w:line="240" w:lineRule="auto"/>
        <w:ind w:left="720"/>
        <w:outlineLvl w:val="1"/>
        <w:rPr>
          <w:rFonts w:eastAsia="Times New Roman"/>
        </w:rPr>
      </w:pPr>
      <w:r w:rsidRPr="00071611">
        <w:rPr>
          <w:rFonts w:eastAsia="Times New Roman"/>
          <w:b/>
          <w:bCs/>
        </w:rPr>
        <w:t>Address Complications</w:t>
      </w:r>
      <w:r>
        <w:rPr>
          <w:rFonts w:eastAsia="Times New Roman"/>
        </w:rPr>
        <w:t xml:space="preserve">: </w:t>
      </w:r>
      <w:r w:rsidR="70B8219F" w:rsidRPr="000F5E89">
        <w:rPr>
          <w:rFonts w:eastAsia="Times New Roman"/>
        </w:rPr>
        <w:t xml:space="preserve">The first, and largest, is recognizing and addressing the many </w:t>
      </w:r>
      <w:r w:rsidR="25E762EC" w:rsidRPr="000F5E89">
        <w:rPr>
          <w:rFonts w:eastAsia="Times New Roman"/>
        </w:rPr>
        <w:t xml:space="preserve">multisystem complications of ALF. </w:t>
      </w:r>
      <w:r w:rsidR="73AE6B8D" w:rsidRPr="000F5E89">
        <w:rPr>
          <w:rFonts w:eastAsia="Times New Roman"/>
        </w:rPr>
        <w:t xml:space="preserve"> </w:t>
      </w:r>
      <w:r w:rsidR="5F98412F" w:rsidRPr="000F5E89">
        <w:rPr>
          <w:rFonts w:eastAsia="Times New Roman"/>
        </w:rPr>
        <w:t>While not an exhaustive list, conditions associated with ALF include</w:t>
      </w:r>
      <w:r w:rsidR="00143566">
        <w:rPr>
          <w:rFonts w:eastAsia="Times New Roman"/>
        </w:rPr>
        <w:t xml:space="preserve"> the following. </w:t>
      </w:r>
      <w:r w:rsidR="00143566" w:rsidRPr="00143566">
        <w:rPr>
          <w:rFonts w:eastAsia="Times New Roman"/>
          <w:i/>
          <w:iCs/>
        </w:rPr>
        <w:t>Ask your learners what common complications are seen in ALF before clicking to reveal the complications. Click on each complication to reveal additional information.</w:t>
      </w:r>
      <w:r w:rsidR="00143566">
        <w:rPr>
          <w:rFonts w:eastAsia="Times New Roman"/>
        </w:rPr>
        <w:t xml:space="preserve"> </w:t>
      </w:r>
    </w:p>
    <w:p w14:paraId="2A9582AE" w14:textId="177ECC67" w:rsidR="009B077A" w:rsidRDefault="00071611" w:rsidP="00751015">
      <w:pPr>
        <w:pStyle w:val="ListParagraph"/>
        <w:numPr>
          <w:ilvl w:val="0"/>
          <w:numId w:val="7"/>
        </w:numPr>
        <w:spacing w:after="0" w:line="240" w:lineRule="auto"/>
        <w:outlineLvl w:val="1"/>
        <w:rPr>
          <w:rFonts w:eastAsia="Times New Roman"/>
        </w:rPr>
      </w:pPr>
      <w:r w:rsidRPr="00071611">
        <w:rPr>
          <w:rFonts w:eastAsia="Times New Roman"/>
          <w:b/>
          <w:bCs/>
        </w:rPr>
        <w:t>Cerebral Edema</w:t>
      </w:r>
      <w:r>
        <w:rPr>
          <w:rFonts w:eastAsia="Times New Roman"/>
        </w:rPr>
        <w:t xml:space="preserve">: </w:t>
      </w:r>
      <w:r w:rsidR="00772085">
        <w:rPr>
          <w:rFonts w:eastAsia="Times New Roman"/>
        </w:rPr>
        <w:t>Encephalopathy</w:t>
      </w:r>
      <w:r w:rsidR="5F98412F" w:rsidRPr="63684211">
        <w:rPr>
          <w:rFonts w:eastAsia="Times New Roman"/>
        </w:rPr>
        <w:t xml:space="preserve"> and </w:t>
      </w:r>
      <w:r w:rsidR="7D15F3F1" w:rsidRPr="63684211">
        <w:rPr>
          <w:rFonts w:eastAsia="Times New Roman"/>
        </w:rPr>
        <w:t xml:space="preserve">intracranial hypertension from </w:t>
      </w:r>
      <w:r w:rsidR="5F98412F" w:rsidRPr="63684211">
        <w:rPr>
          <w:rFonts w:eastAsia="Times New Roman"/>
        </w:rPr>
        <w:t>cerebral edema warrants medical ICU admission for frequent neurologic exams (</w:t>
      </w:r>
      <w:r>
        <w:rPr>
          <w:rFonts w:eastAsia="Times New Roman"/>
        </w:rPr>
        <w:t>q</w:t>
      </w:r>
      <w:r w:rsidR="5F98412F" w:rsidRPr="63684211">
        <w:rPr>
          <w:rFonts w:eastAsia="Times New Roman"/>
        </w:rPr>
        <w:t xml:space="preserve">1-2 </w:t>
      </w:r>
      <w:proofErr w:type="spellStart"/>
      <w:r w:rsidR="5F98412F" w:rsidRPr="63684211">
        <w:rPr>
          <w:rFonts w:eastAsia="Times New Roman"/>
        </w:rPr>
        <w:t>hrs</w:t>
      </w:r>
      <w:proofErr w:type="spellEnd"/>
      <w:r w:rsidR="5F98412F" w:rsidRPr="63684211">
        <w:rPr>
          <w:rFonts w:eastAsia="Times New Roman"/>
        </w:rPr>
        <w:t xml:space="preserve">) and prompt intervention when present. </w:t>
      </w:r>
      <w:r w:rsidR="21D5D734" w:rsidRPr="63684211">
        <w:rPr>
          <w:rFonts w:eastAsia="Times New Roman"/>
        </w:rPr>
        <w:t xml:space="preserve"> </w:t>
      </w:r>
      <w:r w:rsidR="009B077A" w:rsidRPr="63684211">
        <w:rPr>
          <w:rFonts w:eastAsia="Times New Roman"/>
        </w:rPr>
        <w:t xml:space="preserve">Intubation </w:t>
      </w:r>
      <w:r w:rsidR="004A4CA4" w:rsidRPr="63684211">
        <w:rPr>
          <w:rFonts w:eastAsia="Times New Roman"/>
        </w:rPr>
        <w:t>may be</w:t>
      </w:r>
      <w:r w:rsidR="009B077A" w:rsidRPr="63684211">
        <w:rPr>
          <w:rFonts w:eastAsia="Times New Roman"/>
        </w:rPr>
        <w:t xml:space="preserve"> indicated for patients with grade III or IV </w:t>
      </w:r>
      <w:r w:rsidR="00143566">
        <w:rPr>
          <w:rFonts w:eastAsia="Times New Roman"/>
        </w:rPr>
        <w:t>HE</w:t>
      </w:r>
      <w:r w:rsidR="009B077A" w:rsidRPr="63684211">
        <w:rPr>
          <w:rFonts w:eastAsia="Times New Roman"/>
        </w:rPr>
        <w:t xml:space="preserve">. </w:t>
      </w:r>
      <w:r w:rsidR="00143566">
        <w:rPr>
          <w:rFonts w:eastAsia="Times New Roman"/>
        </w:rPr>
        <w:t>Maintain high vigilance for</w:t>
      </w:r>
      <w:r w:rsidR="3CC8D377" w:rsidRPr="63684211">
        <w:rPr>
          <w:rFonts w:eastAsia="Times New Roman"/>
        </w:rPr>
        <w:t xml:space="preserve"> worsening intracranial hypertension, which can manifest as progressive encephalopathy. While head CT can show ventricular dilation and loss of gray-white matter differentiation, this is not sensitive for detection of elevated </w:t>
      </w:r>
      <w:r>
        <w:rPr>
          <w:rFonts w:eastAsia="Times New Roman"/>
        </w:rPr>
        <w:t>intracranial pressure (</w:t>
      </w:r>
      <w:r w:rsidR="3CC8D377" w:rsidRPr="63684211">
        <w:rPr>
          <w:rFonts w:eastAsia="Times New Roman"/>
        </w:rPr>
        <w:t>ICP</w:t>
      </w:r>
      <w:r>
        <w:rPr>
          <w:rFonts w:eastAsia="Times New Roman"/>
        </w:rPr>
        <w:t>)</w:t>
      </w:r>
      <w:r w:rsidR="3CC8D377" w:rsidRPr="63684211">
        <w:rPr>
          <w:rFonts w:eastAsia="Times New Roman"/>
        </w:rPr>
        <w:t xml:space="preserve">. </w:t>
      </w:r>
      <w:r w:rsidR="00143566">
        <w:rPr>
          <w:rFonts w:eastAsia="Times New Roman"/>
        </w:rPr>
        <w:t>D</w:t>
      </w:r>
      <w:r w:rsidR="3CC8D377" w:rsidRPr="63684211">
        <w:rPr>
          <w:rFonts w:eastAsia="Times New Roman"/>
        </w:rPr>
        <w:t>irect ICP monitoring is possible,</w:t>
      </w:r>
      <w:r w:rsidR="00BA45C6">
        <w:rPr>
          <w:rFonts w:eastAsia="Times New Roman"/>
        </w:rPr>
        <w:t xml:space="preserve"> although</w:t>
      </w:r>
      <w:r w:rsidR="3CC8D377" w:rsidRPr="63684211">
        <w:rPr>
          <w:rFonts w:eastAsia="Times New Roman"/>
        </w:rPr>
        <w:t xml:space="preserve"> this is rarely pursued given associated bleeding risks. If </w:t>
      </w:r>
      <w:r w:rsidR="00143566">
        <w:rPr>
          <w:rFonts w:eastAsia="Times New Roman"/>
        </w:rPr>
        <w:t xml:space="preserve">there is high </w:t>
      </w:r>
      <w:r w:rsidR="3CC8D377" w:rsidRPr="63684211">
        <w:rPr>
          <w:rFonts w:eastAsia="Times New Roman"/>
        </w:rPr>
        <w:t xml:space="preserve">concern for elevated ICP, </w:t>
      </w:r>
      <w:r w:rsidR="00143566">
        <w:rPr>
          <w:rFonts w:eastAsia="Times New Roman"/>
        </w:rPr>
        <w:t xml:space="preserve">administer </w:t>
      </w:r>
      <w:r w:rsidR="3CC8D377" w:rsidRPr="63684211">
        <w:rPr>
          <w:rFonts w:eastAsia="Times New Roman"/>
        </w:rPr>
        <w:t xml:space="preserve">hypertonic saline or mannitol </w:t>
      </w:r>
      <w:r w:rsidR="00143566">
        <w:rPr>
          <w:rFonts w:eastAsia="Times New Roman"/>
        </w:rPr>
        <w:t>to</w:t>
      </w:r>
      <w:r w:rsidR="3CC8D377" w:rsidRPr="63684211">
        <w:rPr>
          <w:rFonts w:eastAsia="Times New Roman"/>
        </w:rPr>
        <w:t xml:space="preserve"> help lower </w:t>
      </w:r>
      <w:r>
        <w:rPr>
          <w:rFonts w:eastAsia="Times New Roman"/>
        </w:rPr>
        <w:t>ICP</w:t>
      </w:r>
      <w:r w:rsidR="3CC8D377" w:rsidRPr="63684211">
        <w:rPr>
          <w:rFonts w:eastAsia="Times New Roman"/>
        </w:rPr>
        <w:t>.</w:t>
      </w:r>
      <w:r w:rsidR="65DF7988" w:rsidRPr="63684211">
        <w:rPr>
          <w:rFonts w:eastAsia="Times New Roman"/>
        </w:rPr>
        <w:t xml:space="preserve"> If the patient is intubated, hyperventilation can be used to drive down P</w:t>
      </w:r>
      <w:r w:rsidR="65DF7988" w:rsidRPr="00071611">
        <w:rPr>
          <w:rFonts w:eastAsia="Times New Roman"/>
          <w:vertAlign w:val="subscript"/>
        </w:rPr>
        <w:t>a</w:t>
      </w:r>
      <w:r w:rsidR="65DF7988" w:rsidRPr="63684211">
        <w:rPr>
          <w:rFonts w:eastAsia="Times New Roman"/>
        </w:rPr>
        <w:t xml:space="preserve">CO2 </w:t>
      </w:r>
      <w:r w:rsidR="00772085">
        <w:rPr>
          <w:rFonts w:eastAsia="Times New Roman"/>
        </w:rPr>
        <w:t>and</w:t>
      </w:r>
      <w:r w:rsidR="65DF7988" w:rsidRPr="63684211">
        <w:rPr>
          <w:rFonts w:eastAsia="Times New Roman"/>
        </w:rPr>
        <w:t xml:space="preserve"> reduce </w:t>
      </w:r>
      <w:r>
        <w:rPr>
          <w:rFonts w:eastAsia="Times New Roman"/>
        </w:rPr>
        <w:t>ICP</w:t>
      </w:r>
      <w:r w:rsidR="65DF7988" w:rsidRPr="63684211">
        <w:rPr>
          <w:rFonts w:eastAsia="Times New Roman"/>
        </w:rPr>
        <w:t>. Additionally, IVF should be minimized/avoided as much as possible</w:t>
      </w:r>
      <w:r w:rsidR="00143566">
        <w:rPr>
          <w:rFonts w:eastAsia="Times New Roman"/>
        </w:rPr>
        <w:t>, even in the setting of progressive renal failure, since it can precipitate or worsen cerebral edema.</w:t>
      </w:r>
      <w:r w:rsidR="65DF7988" w:rsidRPr="63684211">
        <w:rPr>
          <w:rFonts w:eastAsia="Times New Roman"/>
        </w:rPr>
        <w:t xml:space="preserve"> </w:t>
      </w:r>
    </w:p>
    <w:p w14:paraId="1F545AC3" w14:textId="2E5B3473" w:rsidR="009B077A" w:rsidRDefault="009B077A" w:rsidP="00751015">
      <w:pPr>
        <w:pStyle w:val="ListParagraph"/>
        <w:numPr>
          <w:ilvl w:val="0"/>
          <w:numId w:val="7"/>
        </w:numPr>
        <w:spacing w:after="0" w:line="240" w:lineRule="auto"/>
        <w:outlineLvl w:val="1"/>
        <w:rPr>
          <w:rFonts w:eastAsia="Times New Roman"/>
        </w:rPr>
      </w:pPr>
      <w:r w:rsidRPr="00071611">
        <w:rPr>
          <w:rFonts w:eastAsia="Times New Roman"/>
          <w:b/>
          <w:bCs/>
        </w:rPr>
        <w:t>Hypoglycemia</w:t>
      </w:r>
      <w:r w:rsidR="00071611">
        <w:rPr>
          <w:rFonts w:eastAsia="Times New Roman"/>
        </w:rPr>
        <w:t>:</w:t>
      </w:r>
      <w:r w:rsidR="00071611">
        <w:rPr>
          <w:rFonts w:eastAsia="Times New Roman"/>
          <w:b/>
          <w:bCs/>
        </w:rPr>
        <w:t xml:space="preserve"> </w:t>
      </w:r>
      <w:r w:rsidR="00143566">
        <w:rPr>
          <w:rFonts w:eastAsia="Times New Roman"/>
        </w:rPr>
        <w:t>This common complication o</w:t>
      </w:r>
      <w:r w:rsidR="00071611" w:rsidRPr="00071611">
        <w:rPr>
          <w:rFonts w:eastAsia="Times New Roman"/>
        </w:rPr>
        <w:t>ccurs</w:t>
      </w:r>
      <w:r w:rsidR="00071611">
        <w:rPr>
          <w:rFonts w:eastAsia="Times New Roman"/>
        </w:rPr>
        <w:t xml:space="preserve"> </w:t>
      </w:r>
      <w:proofErr w:type="gramStart"/>
      <w:r w:rsidR="00071611">
        <w:rPr>
          <w:rFonts w:eastAsia="Times New Roman"/>
        </w:rPr>
        <w:t>as a result of</w:t>
      </w:r>
      <w:proofErr w:type="gramEnd"/>
      <w:r w:rsidR="00071611">
        <w:rPr>
          <w:rFonts w:eastAsia="Times New Roman"/>
        </w:rPr>
        <w:t xml:space="preserve"> </w:t>
      </w:r>
      <w:r w:rsidR="45BA1BEB" w:rsidRPr="00751015">
        <w:rPr>
          <w:rFonts w:eastAsia="Times New Roman"/>
        </w:rPr>
        <w:t>impaired gluconeogenesis</w:t>
      </w:r>
      <w:r w:rsidR="005B6639">
        <w:rPr>
          <w:rFonts w:eastAsia="Times New Roman"/>
        </w:rPr>
        <w:t>.</w:t>
      </w:r>
      <w:r>
        <w:rPr>
          <w:rFonts w:eastAsia="Times New Roman"/>
        </w:rPr>
        <w:t xml:space="preserve"> Patients should </w:t>
      </w:r>
      <w:r w:rsidR="005B6639">
        <w:rPr>
          <w:rFonts w:eastAsia="Times New Roman"/>
        </w:rPr>
        <w:t>have blood glucose monitored frequently (</w:t>
      </w:r>
      <w:r w:rsidR="00143566">
        <w:rPr>
          <w:rFonts w:eastAsia="Times New Roman"/>
        </w:rPr>
        <w:t>q</w:t>
      </w:r>
      <w:r>
        <w:rPr>
          <w:rFonts w:eastAsia="Times New Roman"/>
        </w:rPr>
        <w:t>1-2 hour</w:t>
      </w:r>
      <w:r w:rsidR="005B6639">
        <w:rPr>
          <w:rFonts w:eastAsia="Times New Roman"/>
        </w:rPr>
        <w:t>s)</w:t>
      </w:r>
      <w:r>
        <w:rPr>
          <w:rFonts w:eastAsia="Times New Roman"/>
        </w:rPr>
        <w:t xml:space="preserve"> and may require continuous dextrose infusions. </w:t>
      </w:r>
    </w:p>
    <w:p w14:paraId="6E077348" w14:textId="72529E07" w:rsidR="005B6639" w:rsidRDefault="00071611" w:rsidP="00751015">
      <w:pPr>
        <w:pStyle w:val="ListParagraph"/>
        <w:numPr>
          <w:ilvl w:val="0"/>
          <w:numId w:val="7"/>
        </w:numPr>
        <w:spacing w:after="0" w:line="240" w:lineRule="auto"/>
        <w:outlineLvl w:val="1"/>
        <w:rPr>
          <w:rFonts w:eastAsia="Times New Roman"/>
        </w:rPr>
      </w:pPr>
      <w:r w:rsidRPr="00071611">
        <w:rPr>
          <w:rFonts w:eastAsia="Times New Roman"/>
          <w:b/>
          <w:bCs/>
        </w:rPr>
        <w:t>Multiorgan failure:</w:t>
      </w:r>
      <w:r>
        <w:rPr>
          <w:rFonts w:eastAsia="Times New Roman"/>
        </w:rPr>
        <w:t xml:space="preserve"> </w:t>
      </w:r>
      <w:r w:rsidR="009B077A" w:rsidRPr="63684211">
        <w:rPr>
          <w:rFonts w:eastAsia="Times New Roman"/>
        </w:rPr>
        <w:t xml:space="preserve">Close cardiorespiratory monitoring in the ICU is vital as patients may need endotracheal intubation and mechanical ventilator or inotropic/vasopressor support. A </w:t>
      </w:r>
      <w:r w:rsidR="00143566">
        <w:rPr>
          <w:rFonts w:eastAsia="Times New Roman"/>
        </w:rPr>
        <w:t>TTE</w:t>
      </w:r>
      <w:r w:rsidR="009B077A" w:rsidRPr="63684211">
        <w:rPr>
          <w:rFonts w:eastAsia="Times New Roman"/>
        </w:rPr>
        <w:t xml:space="preserve"> can be helpful to evaluate for signs of biventricular failure and exclude cardiogenic shock or cardiac dysfunction as contributing to critical illness. </w:t>
      </w:r>
    </w:p>
    <w:p w14:paraId="74CEAAE1" w14:textId="77777777" w:rsidR="00071611" w:rsidRDefault="009B077A" w:rsidP="00071611">
      <w:pPr>
        <w:pStyle w:val="ListParagraph"/>
        <w:numPr>
          <w:ilvl w:val="1"/>
          <w:numId w:val="7"/>
        </w:numPr>
        <w:spacing w:after="0" w:line="240" w:lineRule="auto"/>
        <w:outlineLvl w:val="1"/>
        <w:rPr>
          <w:rFonts w:eastAsia="Times New Roman"/>
        </w:rPr>
      </w:pPr>
      <w:r w:rsidRPr="00071611">
        <w:rPr>
          <w:rFonts w:eastAsia="Times New Roman"/>
        </w:rPr>
        <w:t>Severe electrolyte derangements</w:t>
      </w:r>
      <w:r w:rsidR="005B6639" w:rsidRPr="00071611">
        <w:rPr>
          <w:rFonts w:eastAsia="Times New Roman"/>
        </w:rPr>
        <w:t xml:space="preserve"> and acidemia </w:t>
      </w:r>
      <w:r w:rsidRPr="00071611">
        <w:rPr>
          <w:rFonts w:eastAsia="Times New Roman"/>
        </w:rPr>
        <w:t xml:space="preserve">can occur from </w:t>
      </w:r>
      <w:r w:rsidR="00B60F48" w:rsidRPr="00071611">
        <w:rPr>
          <w:rFonts w:eastAsia="Times New Roman"/>
        </w:rPr>
        <w:t>lactic acidosis, hypoperfusion,</w:t>
      </w:r>
      <w:r w:rsidRPr="00071611">
        <w:rPr>
          <w:rFonts w:eastAsia="Times New Roman"/>
        </w:rPr>
        <w:t xml:space="preserve"> and renal failure. </w:t>
      </w:r>
      <w:r w:rsidR="45BA1BEB" w:rsidRPr="00071611">
        <w:rPr>
          <w:rFonts w:eastAsia="Times New Roman"/>
        </w:rPr>
        <w:t>Frequ</w:t>
      </w:r>
      <w:r w:rsidR="7514A208" w:rsidRPr="00071611">
        <w:rPr>
          <w:rFonts w:eastAsia="Times New Roman"/>
        </w:rPr>
        <w:t xml:space="preserve">ent laboratory draws are routine (every 4-6 hours). </w:t>
      </w:r>
      <w:r w:rsidRPr="00071611">
        <w:rPr>
          <w:rFonts w:eastAsia="Times New Roman"/>
        </w:rPr>
        <w:t>K</w:t>
      </w:r>
      <w:r w:rsidR="7514A208" w:rsidRPr="00071611">
        <w:rPr>
          <w:rFonts w:eastAsia="Times New Roman"/>
        </w:rPr>
        <w:t>idney dysfunction warrants close monitoring and earl</w:t>
      </w:r>
      <w:r w:rsidR="44F1EB56" w:rsidRPr="00071611">
        <w:rPr>
          <w:rFonts w:eastAsia="Times New Roman"/>
        </w:rPr>
        <w:t xml:space="preserve">y consideration of renal replacement therapy. </w:t>
      </w:r>
    </w:p>
    <w:p w14:paraId="440BFD6E" w14:textId="60CA347F" w:rsidR="000F5E89" w:rsidRDefault="1403DE81" w:rsidP="00071611">
      <w:pPr>
        <w:pStyle w:val="ListParagraph"/>
        <w:numPr>
          <w:ilvl w:val="0"/>
          <w:numId w:val="7"/>
        </w:numPr>
        <w:spacing w:after="0" w:line="240" w:lineRule="auto"/>
        <w:outlineLvl w:val="1"/>
        <w:rPr>
          <w:rFonts w:eastAsia="Times New Roman"/>
        </w:rPr>
      </w:pPr>
      <w:r w:rsidRPr="00071611">
        <w:rPr>
          <w:rFonts w:eastAsia="Times New Roman"/>
          <w:b/>
          <w:bCs/>
        </w:rPr>
        <w:lastRenderedPageBreak/>
        <w:t>Coagulopathy</w:t>
      </w:r>
      <w:r w:rsidRPr="00071611">
        <w:rPr>
          <w:rFonts w:eastAsia="Times New Roman"/>
        </w:rPr>
        <w:t xml:space="preserve"> from liver synthetic dysfunction</w:t>
      </w:r>
      <w:r w:rsidR="009B077A" w:rsidRPr="00071611">
        <w:rPr>
          <w:rFonts w:eastAsia="Times New Roman"/>
        </w:rPr>
        <w:t xml:space="preserve"> (</w:t>
      </w:r>
      <w:r w:rsidRPr="00071611">
        <w:rPr>
          <w:rFonts w:eastAsia="Times New Roman"/>
        </w:rPr>
        <w:t>inability to generate clotting factors</w:t>
      </w:r>
      <w:r w:rsidR="009B077A" w:rsidRPr="00071611">
        <w:rPr>
          <w:rFonts w:eastAsia="Times New Roman"/>
        </w:rPr>
        <w:t>)</w:t>
      </w:r>
      <w:r w:rsidRPr="00071611">
        <w:rPr>
          <w:rFonts w:eastAsia="Times New Roman"/>
        </w:rPr>
        <w:t xml:space="preserve"> is common and should be a consideration when procedures are performed.</w:t>
      </w:r>
      <w:r w:rsidR="000F5E89" w:rsidRPr="00071611">
        <w:rPr>
          <w:rFonts w:eastAsia="Times New Roman"/>
        </w:rPr>
        <w:t xml:space="preserve"> </w:t>
      </w:r>
      <w:r w:rsidR="01544D77" w:rsidRPr="00071611">
        <w:rPr>
          <w:rFonts w:eastAsia="Times New Roman"/>
        </w:rPr>
        <w:t xml:space="preserve"> Administration of vitamin K to correct any nutritional deficiency is appropriate and does not limit prognostic value of INR (given this is driven by synthetic dysfunction and not nutritional deficiency). However, administration of FFP or concentrated factors should be avoided unless there is active bleeding as this will limit the prognostic value of INR. </w:t>
      </w:r>
      <w:r w:rsidR="004D1E5D">
        <w:rPr>
          <w:rFonts w:eastAsia="Times New Roman"/>
        </w:rPr>
        <w:t>Liver function tests and coagulation factors should be monitored every 4-6 hours.</w:t>
      </w:r>
    </w:p>
    <w:p w14:paraId="68F777CD" w14:textId="5DDE2D0A" w:rsidR="4622180E" w:rsidRDefault="00071611" w:rsidP="00071611">
      <w:pPr>
        <w:pStyle w:val="ListParagraph"/>
        <w:numPr>
          <w:ilvl w:val="0"/>
          <w:numId w:val="7"/>
        </w:numPr>
        <w:spacing w:after="0" w:line="240" w:lineRule="auto"/>
        <w:outlineLvl w:val="1"/>
        <w:rPr>
          <w:rFonts w:eastAsia="Times New Roman"/>
        </w:rPr>
      </w:pPr>
      <w:r w:rsidRPr="00071611">
        <w:rPr>
          <w:rFonts w:eastAsia="Times New Roman"/>
          <w:b/>
          <w:bCs/>
        </w:rPr>
        <w:t>Infection</w:t>
      </w:r>
      <w:r w:rsidRPr="00071611">
        <w:rPr>
          <w:rFonts w:eastAsia="Times New Roman"/>
        </w:rPr>
        <w:t xml:space="preserve">: </w:t>
      </w:r>
      <w:r w:rsidR="77182CE8" w:rsidRPr="00071611">
        <w:rPr>
          <w:rFonts w:eastAsia="Times New Roman"/>
        </w:rPr>
        <w:t xml:space="preserve">ALF causes a systemic inflammatory response that can mimic sepsis, although these patients are also at high risk for infection due to </w:t>
      </w:r>
      <w:r w:rsidR="4B22D8C1" w:rsidRPr="00071611">
        <w:rPr>
          <w:rFonts w:eastAsia="Times New Roman"/>
        </w:rPr>
        <w:t>impaired function of the immunological system. Some centers/providers choose to prophylactically start antibiotics given this risk</w:t>
      </w:r>
      <w:r w:rsidR="00BA45C6">
        <w:rPr>
          <w:rFonts w:eastAsia="Times New Roman"/>
        </w:rPr>
        <w:t>.</w:t>
      </w:r>
    </w:p>
    <w:p w14:paraId="4B4AB492" w14:textId="4F41BD3D" w:rsidR="00071611" w:rsidRDefault="00071611" w:rsidP="00143566">
      <w:pPr>
        <w:pStyle w:val="ListParagraph"/>
        <w:numPr>
          <w:ilvl w:val="0"/>
          <w:numId w:val="10"/>
        </w:numPr>
        <w:ind w:left="720"/>
      </w:pPr>
      <w:r w:rsidRPr="00143566">
        <w:rPr>
          <w:rFonts w:eastAsia="Times New Roman"/>
          <w:b/>
          <w:bCs/>
        </w:rPr>
        <w:t>Give</w:t>
      </w:r>
      <w:r w:rsidR="00143566" w:rsidRPr="00143566">
        <w:rPr>
          <w:rFonts w:eastAsia="Times New Roman"/>
          <w:b/>
          <w:bCs/>
        </w:rPr>
        <w:t xml:space="preserve"> </w:t>
      </w:r>
      <w:r w:rsidRPr="00143566">
        <w:rPr>
          <w:rFonts w:eastAsia="Times New Roman"/>
          <w:b/>
          <w:bCs/>
        </w:rPr>
        <w:t>NAC</w:t>
      </w:r>
      <w:r w:rsidRPr="00143566">
        <w:rPr>
          <w:rFonts w:eastAsia="Times New Roman"/>
        </w:rPr>
        <w:t>:</w:t>
      </w:r>
      <w:r w:rsidR="25E762EC" w:rsidRPr="00071611">
        <w:t xml:space="preserve"> </w:t>
      </w:r>
      <w:r w:rsidR="00143566">
        <w:t>E</w:t>
      </w:r>
      <w:r w:rsidR="00143566" w:rsidRPr="00071611">
        <w:t xml:space="preserve">mpirically </w:t>
      </w:r>
      <w:r w:rsidR="25E762EC" w:rsidRPr="00071611">
        <w:t>start N-acetylcyst</w:t>
      </w:r>
      <w:r w:rsidR="700826AB" w:rsidRPr="00071611">
        <w:t>e</w:t>
      </w:r>
      <w:r w:rsidR="25E762EC" w:rsidRPr="00071611">
        <w:t>ine (NAC) for patient</w:t>
      </w:r>
      <w:r w:rsidR="6E6C564A" w:rsidRPr="00071611">
        <w:t>s presenting with ALF. NAC serves two roles</w:t>
      </w:r>
      <w:r w:rsidR="00143566">
        <w:t>. F</w:t>
      </w:r>
      <w:r w:rsidR="4B0ED4C4" w:rsidRPr="00071611">
        <w:t xml:space="preserve">irst, in the setting of acetaminophen overdose NAC </w:t>
      </w:r>
      <w:r w:rsidR="0081258A" w:rsidRPr="00071611">
        <w:t>helps</w:t>
      </w:r>
      <w:r w:rsidR="4B0ED4C4" w:rsidRPr="00071611">
        <w:t xml:space="preserve"> replenish glutathione, which </w:t>
      </w:r>
      <w:r w:rsidR="30C7DDC1" w:rsidRPr="00071611">
        <w:t xml:space="preserve">is the rate-limiting enzyme in the breakdown of acetaminophen byproducts. Second, NAC has been shown to be beneficial in ALF even when not caused by acetaminophen toxicity, </w:t>
      </w:r>
      <w:r w:rsidR="6AEBC385" w:rsidRPr="00071611">
        <w:t xml:space="preserve">potentially </w:t>
      </w:r>
      <w:r w:rsidR="3136A66B" w:rsidRPr="00071611">
        <w:t xml:space="preserve">through replenishing glutathione and </w:t>
      </w:r>
      <w:r w:rsidR="6AEBC385" w:rsidRPr="00071611">
        <w:t>by preventing oxidation of other molecules, although the pathophysiology is yet to be fully elucidated</w:t>
      </w:r>
      <w:r w:rsidR="6B47A032" w:rsidRPr="00071611">
        <w:t>.</w:t>
      </w:r>
      <w:r w:rsidR="00143566">
        <w:rPr>
          <w:vertAlign w:val="superscript"/>
        </w:rPr>
        <w:t>4</w:t>
      </w:r>
      <w:r w:rsidR="6AEBC385" w:rsidRPr="00071611">
        <w:t xml:space="preserve"> </w:t>
      </w:r>
      <w:r w:rsidR="1AEC1E12" w:rsidRPr="00071611">
        <w:t>For these reasons, NAC is recommended by AASLD guidelines to be given to all patients with ALF</w:t>
      </w:r>
      <w:r w:rsidR="2F42DAF8" w:rsidRPr="00071611">
        <w:t>. Other empiric therapies, such as acyclovir, should also have a low threshold for initiation in the appropriate clinical setting</w:t>
      </w:r>
      <w:r w:rsidR="00143566">
        <w:t xml:space="preserve"> (e.g., fever)</w:t>
      </w:r>
      <w:r w:rsidR="2F42DAF8" w:rsidRPr="00071611">
        <w:t xml:space="preserve">. </w:t>
      </w:r>
    </w:p>
    <w:p w14:paraId="3D268DE8" w14:textId="2B8F6CE0" w:rsidR="2F42DAF8" w:rsidRPr="00A9537D" w:rsidRDefault="00143566" w:rsidP="0059474C">
      <w:pPr>
        <w:pStyle w:val="ListParagraph"/>
        <w:numPr>
          <w:ilvl w:val="0"/>
          <w:numId w:val="10"/>
        </w:numPr>
        <w:spacing w:after="0" w:line="240" w:lineRule="auto"/>
        <w:ind w:left="720"/>
        <w:rPr>
          <w:rFonts w:ascii="Times New Roman" w:eastAsia="Times New Roman" w:hAnsi="Times New Roman" w:cs="Times New Roman"/>
          <w:color w:val="000000" w:themeColor="text1"/>
        </w:rPr>
      </w:pPr>
      <w:r w:rsidRPr="0059474C">
        <w:rPr>
          <w:b/>
          <w:bCs/>
          <w:noProof/>
        </w:rPr>
        <w:t>Prognostication:</w:t>
      </w:r>
      <w:r w:rsidR="2F42DAF8" w:rsidRPr="0059474C">
        <w:rPr>
          <w:rFonts w:eastAsia="Times New Roman"/>
        </w:rPr>
        <w:t xml:space="preserve"> </w:t>
      </w:r>
      <w:r w:rsidR="0059474C">
        <w:rPr>
          <w:rFonts w:eastAsia="Times New Roman"/>
        </w:rPr>
        <w:t>I</w:t>
      </w:r>
      <w:r w:rsidR="2F42DAF8" w:rsidRPr="0059474C">
        <w:rPr>
          <w:rFonts w:eastAsia="Times New Roman"/>
        </w:rPr>
        <w:t xml:space="preserve">n consultation with a </w:t>
      </w:r>
      <w:r w:rsidR="0059474C">
        <w:rPr>
          <w:rFonts w:eastAsia="Times New Roman"/>
        </w:rPr>
        <w:t>h</w:t>
      </w:r>
      <w:r w:rsidR="2F42DAF8" w:rsidRPr="0059474C">
        <w:rPr>
          <w:rFonts w:eastAsia="Times New Roman"/>
        </w:rPr>
        <w:t>epatologist</w:t>
      </w:r>
      <w:r w:rsidR="0059474C">
        <w:rPr>
          <w:rFonts w:eastAsia="Times New Roman"/>
        </w:rPr>
        <w:t>,</w:t>
      </w:r>
      <w:r w:rsidR="2F42DAF8" w:rsidRPr="0059474C">
        <w:rPr>
          <w:rFonts w:eastAsia="Times New Roman"/>
        </w:rPr>
        <w:t xml:space="preserve"> </w:t>
      </w:r>
      <w:r w:rsidR="0059474C" w:rsidRPr="0059474C">
        <w:rPr>
          <w:rFonts w:eastAsia="Times New Roman"/>
        </w:rPr>
        <w:t>use</w:t>
      </w:r>
      <w:r w:rsidR="2F42DAF8" w:rsidRPr="0059474C">
        <w:rPr>
          <w:rFonts w:eastAsia="Times New Roman"/>
        </w:rPr>
        <w:t xml:space="preserve"> evidence-based </w:t>
      </w:r>
      <w:r w:rsidR="00772085" w:rsidRPr="0059474C">
        <w:rPr>
          <w:rFonts w:eastAsia="Times New Roman"/>
        </w:rPr>
        <w:t xml:space="preserve">risk </w:t>
      </w:r>
      <w:r w:rsidR="2F42DAF8" w:rsidRPr="0059474C">
        <w:rPr>
          <w:rFonts w:eastAsia="Times New Roman"/>
        </w:rPr>
        <w:t>calculators</w:t>
      </w:r>
      <w:r w:rsidR="0059474C">
        <w:rPr>
          <w:rFonts w:eastAsia="Times New Roman"/>
        </w:rPr>
        <w:t xml:space="preserve"> (King’s College Criteria or MELD score)</w:t>
      </w:r>
      <w:r w:rsidR="2F42DAF8" w:rsidRPr="0059474C">
        <w:rPr>
          <w:rFonts w:eastAsia="Times New Roman"/>
        </w:rPr>
        <w:t xml:space="preserve"> to assist in </w:t>
      </w:r>
      <w:r w:rsidR="0059474C">
        <w:rPr>
          <w:rFonts w:eastAsia="Times New Roman"/>
        </w:rPr>
        <w:t>determining which patients are unlikely to spontaneously recover. Patients who are unlikely to recover should be considered for a liver transplant.</w:t>
      </w:r>
      <w:r w:rsidR="0059474C" w:rsidRPr="0059474C">
        <w:rPr>
          <w:rFonts w:eastAsia="Times New Roman"/>
        </w:rPr>
        <w:t xml:space="preserve"> </w:t>
      </w:r>
    </w:p>
    <w:p w14:paraId="3850887F" w14:textId="2DBBE5DF" w:rsidR="00A9537D" w:rsidRPr="00A9537D" w:rsidRDefault="00A9537D" w:rsidP="00A9537D">
      <w:pPr>
        <w:pStyle w:val="ListParagraph"/>
        <w:numPr>
          <w:ilvl w:val="0"/>
          <w:numId w:val="19"/>
        </w:numPr>
        <w:spacing w:before="100" w:beforeAutospacing="1" w:after="100" w:afterAutospacing="1" w:line="240" w:lineRule="auto"/>
        <w:ind w:left="1170"/>
        <w:rPr>
          <w:rFonts w:eastAsia="Times New Roman" w:cstheme="minorHAnsi"/>
        </w:rPr>
      </w:pPr>
      <w:r w:rsidRPr="00A9537D">
        <w:rPr>
          <w:rFonts w:eastAsia="Times New Roman" w:cstheme="minorHAnsi"/>
          <w:i/>
          <w:iCs/>
        </w:rPr>
        <w:t>Bonus: Click on "Learn more about KCC" for additional learning on King's College Criteria and prognostication in ALF. These are unlikely criteria that internists will be applying alone without the aid of a hepatologist. </w:t>
      </w:r>
      <w:r w:rsidR="004848E4">
        <w:rPr>
          <w:rFonts w:eastAsia="Times New Roman" w:cstheme="minorHAnsi"/>
          <w:i/>
          <w:iCs/>
        </w:rPr>
        <w:t xml:space="preserve"> </w:t>
      </w:r>
    </w:p>
    <w:p w14:paraId="6F0DB5B7" w14:textId="4AC14B23" w:rsidR="2F42DAF8" w:rsidRPr="0059474C" w:rsidRDefault="0059474C" w:rsidP="004232EC">
      <w:pPr>
        <w:pStyle w:val="ListParagraph"/>
        <w:numPr>
          <w:ilvl w:val="0"/>
          <w:numId w:val="10"/>
        </w:numPr>
        <w:spacing w:after="0" w:line="240" w:lineRule="auto"/>
        <w:ind w:left="720"/>
        <w:outlineLvl w:val="1"/>
        <w:rPr>
          <w:rFonts w:eastAsia="Times New Roman"/>
        </w:rPr>
      </w:pPr>
      <w:r w:rsidRPr="0059474C">
        <w:rPr>
          <w:rFonts w:eastAsia="Times New Roman"/>
          <w:b/>
          <w:bCs/>
        </w:rPr>
        <w:t>Transfer</w:t>
      </w:r>
      <w:r>
        <w:rPr>
          <w:rFonts w:eastAsia="Times New Roman"/>
        </w:rPr>
        <w:t xml:space="preserve">: </w:t>
      </w:r>
      <w:r w:rsidR="2F42DAF8" w:rsidRPr="0059474C">
        <w:rPr>
          <w:rFonts w:eastAsia="Times New Roman"/>
        </w:rPr>
        <w:t>Lastly, and possibly most importantly, patients with ALF</w:t>
      </w:r>
      <w:r w:rsidR="00BA5813">
        <w:rPr>
          <w:rFonts w:eastAsia="Times New Roman"/>
        </w:rPr>
        <w:t xml:space="preserve"> </w:t>
      </w:r>
      <w:r>
        <w:rPr>
          <w:rFonts w:eastAsia="Times New Roman"/>
        </w:rPr>
        <w:t>(</w:t>
      </w:r>
      <w:r w:rsidR="2F42DAF8" w:rsidRPr="0059474C">
        <w:rPr>
          <w:rFonts w:eastAsia="Times New Roman"/>
        </w:rPr>
        <w:t xml:space="preserve">particularly those who meet KCC criteria and/or are high risk of requiring a </w:t>
      </w:r>
      <w:r>
        <w:rPr>
          <w:rFonts w:eastAsia="Times New Roman"/>
        </w:rPr>
        <w:t>liver transplant)</w:t>
      </w:r>
      <w:r w:rsidR="2F42DAF8" w:rsidRPr="0059474C">
        <w:rPr>
          <w:rFonts w:eastAsia="Times New Roman"/>
        </w:rPr>
        <w:t xml:space="preserve"> should be transferred to a </w:t>
      </w:r>
      <w:r>
        <w:rPr>
          <w:rFonts w:eastAsia="Times New Roman"/>
        </w:rPr>
        <w:t xml:space="preserve">liver transplant capable </w:t>
      </w:r>
      <w:r w:rsidR="2F42DAF8" w:rsidRPr="0059474C">
        <w:rPr>
          <w:rFonts w:eastAsia="Times New Roman"/>
        </w:rPr>
        <w:t>center</w:t>
      </w:r>
      <w:r w:rsidR="6AAD586A" w:rsidRPr="0059474C">
        <w:rPr>
          <w:rFonts w:eastAsia="Times New Roman"/>
        </w:rPr>
        <w:t xml:space="preserve"> if they are a potential </w:t>
      </w:r>
      <w:r>
        <w:rPr>
          <w:rFonts w:eastAsia="Times New Roman"/>
        </w:rPr>
        <w:t>transplant</w:t>
      </w:r>
      <w:r w:rsidR="6AAD586A" w:rsidRPr="0059474C">
        <w:rPr>
          <w:rFonts w:eastAsia="Times New Roman"/>
        </w:rPr>
        <w:t xml:space="preserve"> candidate</w:t>
      </w:r>
      <w:r w:rsidR="2F42DAF8" w:rsidRPr="0059474C">
        <w:rPr>
          <w:rFonts w:eastAsia="Times New Roman"/>
        </w:rPr>
        <w:t xml:space="preserve">. Regardless of care and interventions received, some patients with ALF will not recover with supportive care and will </w:t>
      </w:r>
      <w:r w:rsidR="73CA246B" w:rsidRPr="0059474C">
        <w:rPr>
          <w:rFonts w:eastAsia="Times New Roman"/>
        </w:rPr>
        <w:t xml:space="preserve">need a liver transplant. </w:t>
      </w:r>
      <w:r>
        <w:rPr>
          <w:rFonts w:eastAsia="Times New Roman"/>
        </w:rPr>
        <w:t>P</w:t>
      </w:r>
      <w:r w:rsidR="73CA246B" w:rsidRPr="0059474C">
        <w:rPr>
          <w:rFonts w:eastAsia="Times New Roman"/>
        </w:rPr>
        <w:t xml:space="preserve">atients should be transported as early as possible </w:t>
      </w:r>
      <w:r w:rsidR="59832D68" w:rsidRPr="0059474C">
        <w:rPr>
          <w:rFonts w:eastAsia="Times New Roman"/>
        </w:rPr>
        <w:t>given</w:t>
      </w:r>
      <w:r w:rsidR="73CA246B" w:rsidRPr="0059474C">
        <w:rPr>
          <w:rFonts w:eastAsia="Times New Roman"/>
        </w:rPr>
        <w:t xml:space="preserve"> further progression of disease may preclude them </w:t>
      </w:r>
      <w:r w:rsidR="7159A33B" w:rsidRPr="0059474C">
        <w:rPr>
          <w:rFonts w:eastAsia="Times New Roman"/>
        </w:rPr>
        <w:t>from safe transfer</w:t>
      </w:r>
      <w:r w:rsidR="41E432E8" w:rsidRPr="0059474C">
        <w:rPr>
          <w:rFonts w:eastAsia="Times New Roman"/>
        </w:rPr>
        <w:t xml:space="preserve"> when </w:t>
      </w:r>
      <w:r>
        <w:rPr>
          <w:rFonts w:eastAsia="Times New Roman"/>
        </w:rPr>
        <w:t>transplant</w:t>
      </w:r>
      <w:r w:rsidR="41E432E8" w:rsidRPr="0059474C">
        <w:rPr>
          <w:rFonts w:eastAsia="Times New Roman"/>
        </w:rPr>
        <w:t xml:space="preserve"> is needed. </w:t>
      </w:r>
    </w:p>
    <w:p w14:paraId="4D0C1CEA" w14:textId="77777777" w:rsidR="004848E4" w:rsidRDefault="004848E4" w:rsidP="00287D7A">
      <w:pPr>
        <w:spacing w:after="0" w:line="240" w:lineRule="auto"/>
        <w:ind w:left="360"/>
        <w:outlineLvl w:val="1"/>
        <w:rPr>
          <w:b/>
          <w:bCs/>
          <w:noProof/>
        </w:rPr>
      </w:pPr>
    </w:p>
    <w:p w14:paraId="673B8D83" w14:textId="02B74CDB" w:rsidR="38DDF95C" w:rsidRDefault="38DDF95C" w:rsidP="004848E4">
      <w:pPr>
        <w:spacing w:after="0" w:line="240" w:lineRule="auto"/>
        <w:outlineLvl w:val="1"/>
        <w:rPr>
          <w:rFonts w:eastAsia="Times New Roman"/>
        </w:rPr>
      </w:pPr>
      <w:r w:rsidRPr="004848E4">
        <w:rPr>
          <w:rFonts w:eastAsia="Times New Roman"/>
          <w:b/>
          <w:bCs/>
          <w:u w:val="single"/>
        </w:rPr>
        <w:t>Cases</w:t>
      </w:r>
      <w:r w:rsidRPr="4622180E">
        <w:rPr>
          <w:rFonts w:eastAsia="Times New Roman"/>
          <w:b/>
          <w:bCs/>
        </w:rPr>
        <w:t xml:space="preserve">: </w:t>
      </w:r>
      <w:r w:rsidRPr="4622180E">
        <w:rPr>
          <w:rFonts w:eastAsia="Times New Roman"/>
        </w:rPr>
        <w:t xml:space="preserve">After completion of the above objectives, review the practice cases to consolidate and apply the information that was learned. </w:t>
      </w:r>
    </w:p>
    <w:p w14:paraId="3135AFE2" w14:textId="77777777" w:rsidR="00213B29" w:rsidRPr="00BE73DA" w:rsidRDefault="00213B29" w:rsidP="004848E4">
      <w:pPr>
        <w:spacing w:after="0" w:line="240" w:lineRule="auto"/>
        <w:contextualSpacing/>
        <w:rPr>
          <w:rFonts w:eastAsia="Times New Roman" w:cstheme="minorHAnsi"/>
        </w:rPr>
      </w:pPr>
    </w:p>
    <w:p w14:paraId="73A94C10" w14:textId="77777777" w:rsidR="00213B29" w:rsidRPr="00BE73DA" w:rsidRDefault="00213B29" w:rsidP="00213B29">
      <w:pPr>
        <w:spacing w:after="0" w:line="240" w:lineRule="auto"/>
        <w:contextualSpacing/>
        <w:outlineLvl w:val="1"/>
        <w:rPr>
          <w:rFonts w:eastAsia="Times New Roman" w:cstheme="minorHAnsi"/>
          <w:b/>
          <w:bCs/>
          <w:color w:val="000000"/>
        </w:rPr>
      </w:pPr>
      <w:r w:rsidRPr="00BE73DA">
        <w:rPr>
          <w:rFonts w:eastAsia="Times New Roman" w:cstheme="minorHAnsi"/>
          <w:b/>
          <w:bCs/>
          <w:color w:val="000000"/>
        </w:rPr>
        <w:t>Take Home Points</w:t>
      </w:r>
    </w:p>
    <w:p w14:paraId="353F8E11" w14:textId="16138F12" w:rsidR="00E02DC4" w:rsidRPr="0010633F" w:rsidRDefault="00287D7A" w:rsidP="00E02DC4">
      <w:pPr>
        <w:pStyle w:val="ListParagraph"/>
        <w:numPr>
          <w:ilvl w:val="0"/>
          <w:numId w:val="4"/>
        </w:numPr>
        <w:spacing w:after="0" w:line="240" w:lineRule="auto"/>
        <w:outlineLvl w:val="1"/>
        <w:rPr>
          <w:rFonts w:eastAsia="Times New Roman" w:cstheme="minorHAnsi"/>
        </w:rPr>
      </w:pPr>
      <w:r>
        <w:rPr>
          <w:rFonts w:eastAsia="Times New Roman" w:cstheme="minorHAnsi"/>
        </w:rPr>
        <w:t>ALF</w:t>
      </w:r>
      <w:r w:rsidR="00E02DC4" w:rsidRPr="0010633F">
        <w:rPr>
          <w:rFonts w:eastAsia="Times New Roman" w:cstheme="minorHAnsi"/>
        </w:rPr>
        <w:t xml:space="preserve"> is defined by evidence of liver injury (&lt;</w:t>
      </w:r>
      <w:r w:rsidR="00646F7C">
        <w:rPr>
          <w:rFonts w:eastAsia="Times New Roman" w:cstheme="minorHAnsi"/>
        </w:rPr>
        <w:t>26 weeks</w:t>
      </w:r>
      <w:r w:rsidR="00E02DC4" w:rsidRPr="0010633F">
        <w:rPr>
          <w:rFonts w:eastAsia="Times New Roman" w:cstheme="minorHAnsi"/>
        </w:rPr>
        <w:t xml:space="preserve"> duration)</w:t>
      </w:r>
      <w:r w:rsidR="00170AF8" w:rsidRPr="0010633F">
        <w:rPr>
          <w:rFonts w:eastAsia="Times New Roman" w:cstheme="minorHAnsi"/>
        </w:rPr>
        <w:t xml:space="preserve"> in the presence of hepatic encephalopathy and </w:t>
      </w:r>
      <w:r>
        <w:rPr>
          <w:rFonts w:eastAsia="Times New Roman" w:cstheme="minorHAnsi"/>
        </w:rPr>
        <w:t>synthetic dysfunction</w:t>
      </w:r>
      <w:r w:rsidR="00170AF8" w:rsidRPr="0010633F">
        <w:rPr>
          <w:rFonts w:eastAsia="Times New Roman" w:cstheme="minorHAnsi"/>
        </w:rPr>
        <w:t xml:space="preserve"> (INR &gt; 1.5). </w:t>
      </w:r>
    </w:p>
    <w:p w14:paraId="72103809" w14:textId="07645E43" w:rsidR="00170AF8" w:rsidRPr="0010633F" w:rsidRDefault="00170AF8" w:rsidP="28512735">
      <w:pPr>
        <w:pStyle w:val="ListParagraph"/>
        <w:numPr>
          <w:ilvl w:val="0"/>
          <w:numId w:val="4"/>
        </w:numPr>
        <w:spacing w:after="0" w:line="240" w:lineRule="auto"/>
        <w:outlineLvl w:val="1"/>
        <w:rPr>
          <w:rFonts w:eastAsia="Times New Roman"/>
        </w:rPr>
      </w:pPr>
      <w:r w:rsidRPr="28512735">
        <w:rPr>
          <w:rFonts w:eastAsia="Times New Roman"/>
        </w:rPr>
        <w:t xml:space="preserve">Viral hepatitis and drug toxicity (particularly acetaminophen) account for &gt;50% of all cases of </w:t>
      </w:r>
      <w:r w:rsidR="00287D7A">
        <w:rPr>
          <w:rFonts w:eastAsia="Times New Roman"/>
        </w:rPr>
        <w:t>ALF</w:t>
      </w:r>
      <w:r w:rsidR="5215F196" w:rsidRPr="28512735">
        <w:rPr>
          <w:rFonts w:eastAsia="Times New Roman"/>
        </w:rPr>
        <w:t>, although other important categories to be aware of include autoimmune hepatitis, ischemic and vascular causes, and pregnancy related causes of liver injury</w:t>
      </w:r>
      <w:r w:rsidRPr="28512735">
        <w:rPr>
          <w:rFonts w:eastAsia="Times New Roman"/>
        </w:rPr>
        <w:t xml:space="preserve">. </w:t>
      </w:r>
    </w:p>
    <w:p w14:paraId="7552CAA3" w14:textId="353B69D8" w:rsidR="3DB15ED5" w:rsidRDefault="00287D7A" w:rsidP="28512735">
      <w:pPr>
        <w:pStyle w:val="ListParagraph"/>
        <w:numPr>
          <w:ilvl w:val="0"/>
          <w:numId w:val="4"/>
        </w:numPr>
        <w:spacing w:after="0" w:line="240" w:lineRule="auto"/>
        <w:outlineLvl w:val="1"/>
        <w:rPr>
          <w:rFonts w:eastAsia="Times New Roman"/>
        </w:rPr>
      </w:pPr>
      <w:r>
        <w:rPr>
          <w:rFonts w:eastAsia="Times New Roman"/>
        </w:rPr>
        <w:t>NAC</w:t>
      </w:r>
      <w:r w:rsidR="3DB15ED5" w:rsidRPr="2BEB3E3B">
        <w:rPr>
          <w:rFonts w:eastAsia="Times New Roman"/>
        </w:rPr>
        <w:t xml:space="preserve"> should be started as soon as possible </w:t>
      </w:r>
      <w:commentRangeStart w:id="0"/>
      <w:commentRangeEnd w:id="0"/>
      <w:r>
        <w:rPr>
          <w:rStyle w:val="CommentReference"/>
        </w:rPr>
        <w:commentReference w:id="0"/>
      </w:r>
      <w:r w:rsidR="3DB15ED5" w:rsidRPr="2BEB3E3B">
        <w:rPr>
          <w:rFonts w:eastAsia="Times New Roman"/>
        </w:rPr>
        <w:t xml:space="preserve">in patients with </w:t>
      </w:r>
      <w:r>
        <w:rPr>
          <w:rFonts w:eastAsia="Times New Roman"/>
        </w:rPr>
        <w:t>ALF</w:t>
      </w:r>
      <w:r w:rsidR="3DB15ED5" w:rsidRPr="2BEB3E3B">
        <w:rPr>
          <w:rFonts w:eastAsia="Times New Roman"/>
        </w:rPr>
        <w:t xml:space="preserve"> as </w:t>
      </w:r>
      <w:r w:rsidR="2BF4C897" w:rsidRPr="2BEB3E3B">
        <w:rPr>
          <w:rFonts w:eastAsia="Times New Roman"/>
        </w:rPr>
        <w:t xml:space="preserve">this has shown to be beneficial even in cases unrelated to acetaminophen toxicity. </w:t>
      </w:r>
    </w:p>
    <w:p w14:paraId="31DB5C79" w14:textId="14EC769D" w:rsidR="00287D7A" w:rsidRPr="00287D7A" w:rsidRDefault="00287D7A" w:rsidP="00287D7A">
      <w:pPr>
        <w:pStyle w:val="ListParagraph"/>
        <w:numPr>
          <w:ilvl w:val="0"/>
          <w:numId w:val="4"/>
        </w:numPr>
        <w:spacing w:after="0" w:line="240" w:lineRule="auto"/>
        <w:outlineLvl w:val="1"/>
        <w:rPr>
          <w:rFonts w:eastAsia="Times New Roman"/>
        </w:rPr>
      </w:pPr>
      <w:r w:rsidRPr="63684211">
        <w:rPr>
          <w:rFonts w:eastAsia="Times New Roman"/>
        </w:rPr>
        <w:t xml:space="preserve">Any patient with </w:t>
      </w:r>
      <w:r>
        <w:rPr>
          <w:rFonts w:eastAsia="Times New Roman"/>
        </w:rPr>
        <w:t xml:space="preserve">ALF </w:t>
      </w:r>
      <w:r w:rsidRPr="63684211">
        <w:rPr>
          <w:rFonts w:eastAsia="Times New Roman"/>
        </w:rPr>
        <w:t>should be immediately considered for transfer to a liver transplant center</w:t>
      </w:r>
      <w:r>
        <w:rPr>
          <w:rFonts w:eastAsia="Times New Roman"/>
        </w:rPr>
        <w:t xml:space="preserve">, especially if they meet </w:t>
      </w:r>
      <w:commentRangeStart w:id="1"/>
      <w:r>
        <w:rPr>
          <w:rFonts w:eastAsia="Times New Roman"/>
        </w:rPr>
        <w:t>King’s College Criteria</w:t>
      </w:r>
      <w:r w:rsidRPr="63684211">
        <w:rPr>
          <w:rFonts w:eastAsia="Times New Roman"/>
        </w:rPr>
        <w:t xml:space="preserve">. </w:t>
      </w:r>
      <w:commentRangeEnd w:id="1"/>
      <w:r>
        <w:rPr>
          <w:rStyle w:val="CommentReference"/>
        </w:rPr>
        <w:commentReference w:id="1"/>
      </w:r>
    </w:p>
    <w:p w14:paraId="37038588" w14:textId="77777777" w:rsidR="00213B29" w:rsidRDefault="00213B29" w:rsidP="00213B29">
      <w:pPr>
        <w:spacing w:after="0" w:line="240" w:lineRule="auto"/>
        <w:contextualSpacing/>
        <w:outlineLvl w:val="1"/>
        <w:rPr>
          <w:rFonts w:eastAsia="Times New Roman" w:cstheme="minorHAnsi"/>
        </w:rPr>
      </w:pPr>
    </w:p>
    <w:p w14:paraId="1D268D39" w14:textId="77777777" w:rsidR="00213B29" w:rsidRDefault="00213B29" w:rsidP="00213B29">
      <w:pPr>
        <w:spacing w:after="0" w:line="240" w:lineRule="auto"/>
        <w:contextualSpacing/>
        <w:outlineLvl w:val="1"/>
        <w:rPr>
          <w:rFonts w:eastAsia="Times New Roman" w:cstheme="minorHAnsi"/>
          <w:b/>
          <w:bCs/>
          <w:color w:val="000000"/>
        </w:rPr>
      </w:pPr>
      <w:r w:rsidRPr="00BE73DA">
        <w:rPr>
          <w:rFonts w:eastAsia="Times New Roman" w:cstheme="minorHAnsi"/>
          <w:b/>
          <w:bCs/>
          <w:color w:val="000000"/>
        </w:rPr>
        <w:t>References</w:t>
      </w:r>
    </w:p>
    <w:p w14:paraId="1759B6D8" w14:textId="4CD3FA63" w:rsidR="00574FDF" w:rsidRPr="00287D7A" w:rsidRDefault="0010633F" w:rsidP="00C60D4C">
      <w:pPr>
        <w:pStyle w:val="ListParagraph"/>
        <w:numPr>
          <w:ilvl w:val="0"/>
          <w:numId w:val="1"/>
        </w:numPr>
        <w:rPr>
          <w:rFonts w:cstheme="minorHAnsi"/>
          <w:color w:val="303030"/>
        </w:rPr>
      </w:pPr>
      <w:r w:rsidRPr="00287D7A">
        <w:rPr>
          <w:rFonts w:cstheme="minorHAnsi"/>
          <w:color w:val="303030"/>
          <w:shd w:val="clear" w:color="auto" w:fill="FFFFFF"/>
        </w:rPr>
        <w:t xml:space="preserve">Lee WM, </w:t>
      </w:r>
      <w:proofErr w:type="spellStart"/>
      <w:r w:rsidRPr="00287D7A">
        <w:rPr>
          <w:rFonts w:cstheme="minorHAnsi"/>
          <w:color w:val="303030"/>
          <w:shd w:val="clear" w:color="auto" w:fill="FFFFFF"/>
        </w:rPr>
        <w:t>Stravitz</w:t>
      </w:r>
      <w:proofErr w:type="spellEnd"/>
      <w:r w:rsidRPr="00287D7A">
        <w:rPr>
          <w:rFonts w:cstheme="minorHAnsi"/>
          <w:color w:val="303030"/>
          <w:shd w:val="clear" w:color="auto" w:fill="FFFFFF"/>
        </w:rPr>
        <w:t xml:space="preserve"> RT, Larson AM. Introduction to the revised American Association for the Study of Liver Diseases Position Paper on acute liver failure 2011. </w:t>
      </w:r>
      <w:r w:rsidRPr="00287D7A">
        <w:rPr>
          <w:rFonts w:cstheme="minorHAnsi"/>
          <w:i/>
          <w:iCs/>
          <w:color w:val="303030"/>
          <w:shd w:val="clear" w:color="auto" w:fill="FFFFFF"/>
        </w:rPr>
        <w:t>Hepatology</w:t>
      </w:r>
      <w:r w:rsidRPr="00287D7A">
        <w:rPr>
          <w:rFonts w:cstheme="minorHAnsi"/>
          <w:color w:val="303030"/>
          <w:shd w:val="clear" w:color="auto" w:fill="FFFFFF"/>
        </w:rPr>
        <w:t>. 2012;55(3):965-967. doi:10.1002/hep.25551</w:t>
      </w:r>
    </w:p>
    <w:p w14:paraId="7AD8F54F" w14:textId="6B23A6DD" w:rsidR="00574FDF" w:rsidRPr="00287D7A" w:rsidRDefault="7A7D5264" w:rsidP="00C60D4C">
      <w:pPr>
        <w:pStyle w:val="ListParagraph"/>
        <w:numPr>
          <w:ilvl w:val="0"/>
          <w:numId w:val="1"/>
        </w:numPr>
        <w:rPr>
          <w:rFonts w:cstheme="minorHAnsi"/>
          <w:color w:val="303030"/>
        </w:rPr>
      </w:pPr>
      <w:r w:rsidRPr="00287D7A">
        <w:rPr>
          <w:rFonts w:cstheme="minorHAnsi"/>
          <w:color w:val="303030"/>
        </w:rPr>
        <w:t xml:space="preserve">Bernal W, </w:t>
      </w:r>
      <w:proofErr w:type="spellStart"/>
      <w:r w:rsidRPr="00287D7A">
        <w:rPr>
          <w:rFonts w:cstheme="minorHAnsi"/>
          <w:color w:val="303030"/>
        </w:rPr>
        <w:t>Wendon</w:t>
      </w:r>
      <w:proofErr w:type="spellEnd"/>
      <w:r w:rsidRPr="00287D7A">
        <w:rPr>
          <w:rFonts w:cstheme="minorHAnsi"/>
          <w:color w:val="303030"/>
        </w:rPr>
        <w:t xml:space="preserve"> J. Acute Liver Failure. NEJM. 2013; 369(26):2525-2534.</w:t>
      </w:r>
    </w:p>
    <w:p w14:paraId="5111CA34" w14:textId="3486A45C" w:rsidR="00574FDF" w:rsidRPr="00287D7A" w:rsidRDefault="49CB3048" w:rsidP="00C60D4C">
      <w:pPr>
        <w:pStyle w:val="ListParagraph"/>
        <w:numPr>
          <w:ilvl w:val="0"/>
          <w:numId w:val="1"/>
        </w:numPr>
        <w:rPr>
          <w:rFonts w:cstheme="minorHAnsi"/>
          <w:color w:val="303030"/>
        </w:rPr>
      </w:pPr>
      <w:r w:rsidRPr="00287D7A">
        <w:rPr>
          <w:rFonts w:cstheme="minorHAnsi"/>
          <w:color w:val="303030"/>
        </w:rPr>
        <w:t xml:space="preserve">R Todd </w:t>
      </w:r>
      <w:proofErr w:type="spellStart"/>
      <w:r w:rsidRPr="00287D7A">
        <w:rPr>
          <w:rFonts w:cstheme="minorHAnsi"/>
          <w:color w:val="303030"/>
        </w:rPr>
        <w:t>Stravitz</w:t>
      </w:r>
      <w:proofErr w:type="spellEnd"/>
      <w:r w:rsidRPr="00287D7A">
        <w:rPr>
          <w:rFonts w:cstheme="minorHAnsi"/>
          <w:color w:val="303030"/>
        </w:rPr>
        <w:t>, William M Lee</w:t>
      </w:r>
      <w:r w:rsidR="144A4776" w:rsidRPr="00287D7A">
        <w:rPr>
          <w:rFonts w:cstheme="minorHAnsi"/>
          <w:color w:val="303030"/>
        </w:rPr>
        <w:t>,</w:t>
      </w:r>
      <w:r w:rsidRPr="00287D7A">
        <w:rPr>
          <w:rFonts w:cstheme="minorHAnsi"/>
          <w:color w:val="303030"/>
        </w:rPr>
        <w:t xml:space="preserve"> et al. Acute liver failure. </w:t>
      </w:r>
      <w:r w:rsidRPr="00287D7A">
        <w:rPr>
          <w:rFonts w:cstheme="minorHAnsi"/>
          <w:i/>
          <w:iCs/>
          <w:color w:val="303030"/>
        </w:rPr>
        <w:t xml:space="preserve">The Lancet, </w:t>
      </w:r>
      <w:r w:rsidRPr="00287D7A">
        <w:rPr>
          <w:rFonts w:cstheme="minorHAnsi"/>
          <w:color w:val="303030"/>
        </w:rPr>
        <w:t>Volume 394, Issue 10201, 2019</w:t>
      </w:r>
      <w:r w:rsidR="739CBA0E" w:rsidRPr="00287D7A">
        <w:rPr>
          <w:rFonts w:cstheme="minorHAnsi"/>
          <w:color w:val="303030"/>
        </w:rPr>
        <w:t>;</w:t>
      </w:r>
      <w:r w:rsidRPr="00287D7A">
        <w:rPr>
          <w:rFonts w:cstheme="minorHAnsi"/>
          <w:color w:val="303030"/>
        </w:rPr>
        <w:t xml:space="preserve"> Pages 869-881.</w:t>
      </w:r>
    </w:p>
    <w:p w14:paraId="2E8960B1" w14:textId="30C9D56E" w:rsidR="00574FDF" w:rsidRPr="00287D7A" w:rsidRDefault="7A7D5264" w:rsidP="00C60D4C">
      <w:pPr>
        <w:pStyle w:val="ListParagraph"/>
        <w:numPr>
          <w:ilvl w:val="0"/>
          <w:numId w:val="1"/>
        </w:numPr>
        <w:rPr>
          <w:rFonts w:cstheme="minorHAnsi"/>
          <w:sz w:val="24"/>
          <w:szCs w:val="24"/>
        </w:rPr>
      </w:pPr>
      <w:r w:rsidRPr="00287D7A">
        <w:rPr>
          <w:rFonts w:cstheme="minorHAnsi"/>
          <w:color w:val="303030"/>
        </w:rPr>
        <w:t xml:space="preserve">Lee WM, </w:t>
      </w:r>
      <w:proofErr w:type="spellStart"/>
      <w:r w:rsidRPr="00287D7A">
        <w:rPr>
          <w:rFonts w:cstheme="minorHAnsi"/>
          <w:color w:val="303030"/>
        </w:rPr>
        <w:t>Hynan</w:t>
      </w:r>
      <w:proofErr w:type="spellEnd"/>
      <w:r w:rsidRPr="00287D7A">
        <w:rPr>
          <w:rFonts w:cstheme="minorHAnsi"/>
          <w:color w:val="303030"/>
        </w:rPr>
        <w:t xml:space="preserve"> LS, </w:t>
      </w:r>
      <w:proofErr w:type="spellStart"/>
      <w:r w:rsidRPr="00287D7A">
        <w:rPr>
          <w:rFonts w:cstheme="minorHAnsi"/>
          <w:color w:val="303030"/>
        </w:rPr>
        <w:t>Rossaro</w:t>
      </w:r>
      <w:proofErr w:type="spellEnd"/>
      <w:r w:rsidRPr="00287D7A">
        <w:rPr>
          <w:rFonts w:cstheme="minorHAnsi"/>
          <w:color w:val="303030"/>
        </w:rPr>
        <w:t xml:space="preserve"> L, et al. Intravenous N-acetylcysteine improves transplant-free survival in </w:t>
      </w:r>
      <w:proofErr w:type="gramStart"/>
      <w:r w:rsidRPr="00287D7A">
        <w:rPr>
          <w:rFonts w:cstheme="minorHAnsi"/>
          <w:color w:val="303030"/>
        </w:rPr>
        <w:t>early stage</w:t>
      </w:r>
      <w:proofErr w:type="gramEnd"/>
      <w:r w:rsidRPr="00287D7A">
        <w:rPr>
          <w:rFonts w:cstheme="minorHAnsi"/>
          <w:color w:val="303030"/>
        </w:rPr>
        <w:t xml:space="preserve"> non-acetaminophen acute liver failure [published correction appears in Gastroenterology. 2013 Sep;145(3):695. Dosage error in article text]. Gastroenterology. 2009;137(3):856-864.e1. </w:t>
      </w:r>
      <w:proofErr w:type="gramStart"/>
      <w:r w:rsidRPr="00287D7A">
        <w:rPr>
          <w:rFonts w:cstheme="minorHAnsi"/>
          <w:color w:val="303030"/>
        </w:rPr>
        <w:t>doi:10.1053/j.gastro</w:t>
      </w:r>
      <w:proofErr w:type="gramEnd"/>
      <w:r w:rsidRPr="00287D7A">
        <w:rPr>
          <w:rFonts w:cstheme="minorHAnsi"/>
          <w:color w:val="303030"/>
        </w:rPr>
        <w:t>.2009.06.006</w:t>
      </w:r>
      <w:r w:rsidR="107BD564" w:rsidRPr="00287D7A">
        <w:rPr>
          <w:rFonts w:cstheme="minorHAnsi"/>
          <w:color w:val="303030"/>
        </w:rPr>
        <w:t>.</w:t>
      </w:r>
    </w:p>
    <w:p w14:paraId="7B398193" w14:textId="4DF7ECB5" w:rsidR="0010633F" w:rsidRDefault="0010633F" w:rsidP="0010633F"/>
    <w:sectPr w:rsidR="0010633F" w:rsidSect="000D1E34">
      <w:pgSz w:w="12240" w:h="15840"/>
      <w:pgMar w:top="540" w:right="720" w:bottom="3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ilin Zhang" w:date="2022-02-18T12:23:00Z" w:initials="YZ">
    <w:p w14:paraId="533A4D5E" w14:textId="77777777" w:rsidR="00287D7A" w:rsidRDefault="00287D7A" w:rsidP="00201D2D">
      <w:pPr>
        <w:pStyle w:val="CommentText"/>
      </w:pPr>
      <w:r>
        <w:rPr>
          <w:rStyle w:val="CommentReference"/>
        </w:rPr>
        <w:annotationRef/>
      </w:r>
      <w:r>
        <w:t xml:space="preserve">Cut down the length of this take home given that our message is that it should be started on everyone with ALF. </w:t>
      </w:r>
    </w:p>
  </w:comment>
  <w:comment w:id="1" w:author="Yilin Zhang" w:date="2022-02-18T12:24:00Z" w:initials="YZ">
    <w:p w14:paraId="2F90F0C7" w14:textId="77777777" w:rsidR="00287D7A" w:rsidRDefault="00287D7A" w:rsidP="00DE78F8">
      <w:pPr>
        <w:pStyle w:val="CommentText"/>
      </w:pPr>
      <w:r>
        <w:rPr>
          <w:rStyle w:val="CommentReference"/>
        </w:rPr>
        <w:annotationRef/>
      </w:r>
      <w:r>
        <w:t xml:space="preserve">Since we talk about prognostication here again and there was a recommendation to include this in the slides, I would tie this back to a learning objective.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A4D5E" w15:done="0"/>
  <w15:commentEx w15:paraId="2F90F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E4C" w16cex:dateUtc="2022-02-18T20:23:00Z"/>
  <w16cex:commentExtensible w16cex:durableId="25BA0E76" w16cex:dateUtc="2022-02-18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A4D5E" w16cid:durableId="25BA0E4C"/>
  <w16cid:commentId w16cid:paraId="2F90F0C7" w16cid:durableId="25BA0E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2B97"/>
    <w:multiLevelType w:val="multilevel"/>
    <w:tmpl w:val="EC147E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13987"/>
    <w:multiLevelType w:val="hybridMultilevel"/>
    <w:tmpl w:val="78F24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801F6"/>
    <w:multiLevelType w:val="hybridMultilevel"/>
    <w:tmpl w:val="8918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146E9"/>
    <w:multiLevelType w:val="hybridMultilevel"/>
    <w:tmpl w:val="7E46BE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965804"/>
    <w:multiLevelType w:val="hybridMultilevel"/>
    <w:tmpl w:val="4EB6FDC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AA755BA"/>
    <w:multiLevelType w:val="hybridMultilevel"/>
    <w:tmpl w:val="E33638CC"/>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A8756F"/>
    <w:multiLevelType w:val="hybridMultilevel"/>
    <w:tmpl w:val="E9C8331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6875C7D"/>
    <w:multiLevelType w:val="hybridMultilevel"/>
    <w:tmpl w:val="C576F8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4126C"/>
    <w:multiLevelType w:val="hybridMultilevel"/>
    <w:tmpl w:val="C9F2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E5FB5"/>
    <w:multiLevelType w:val="multilevel"/>
    <w:tmpl w:val="D86C67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AB5278B"/>
    <w:multiLevelType w:val="hybridMultilevel"/>
    <w:tmpl w:val="D93436C6"/>
    <w:lvl w:ilvl="0" w:tplc="0409000F">
      <w:start w:val="1"/>
      <w:numFmt w:val="decimal"/>
      <w:lvlText w:val="%1."/>
      <w:lvlJc w:val="left"/>
      <w:pPr>
        <w:ind w:left="1440" w:hanging="360"/>
      </w:pPr>
      <w:rPr>
        <w:rFonts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085997"/>
    <w:multiLevelType w:val="hybridMultilevel"/>
    <w:tmpl w:val="76EA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396645"/>
    <w:multiLevelType w:val="hybridMultilevel"/>
    <w:tmpl w:val="77A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835DB"/>
    <w:multiLevelType w:val="hybridMultilevel"/>
    <w:tmpl w:val="9BD23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343D9"/>
    <w:multiLevelType w:val="hybridMultilevel"/>
    <w:tmpl w:val="591A970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D50A6"/>
    <w:multiLevelType w:val="hybridMultilevel"/>
    <w:tmpl w:val="0FC8E24C"/>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A026BD1"/>
    <w:multiLevelType w:val="hybridMultilevel"/>
    <w:tmpl w:val="81B45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7752850">
    <w:abstractNumId w:val="3"/>
  </w:num>
  <w:num w:numId="2" w16cid:durableId="445738889">
    <w:abstractNumId w:val="0"/>
  </w:num>
  <w:num w:numId="3" w16cid:durableId="1229881117">
    <w:abstractNumId w:val="16"/>
  </w:num>
  <w:num w:numId="4" w16cid:durableId="129442260">
    <w:abstractNumId w:val="13"/>
  </w:num>
  <w:num w:numId="5" w16cid:durableId="251284875">
    <w:abstractNumId w:val="11"/>
  </w:num>
  <w:num w:numId="6" w16cid:durableId="491335239">
    <w:abstractNumId w:val="14"/>
  </w:num>
  <w:num w:numId="7" w16cid:durableId="2010212212">
    <w:abstractNumId w:val="18"/>
  </w:num>
  <w:num w:numId="8" w16cid:durableId="1587955622">
    <w:abstractNumId w:val="9"/>
  </w:num>
  <w:num w:numId="9" w16cid:durableId="352459846">
    <w:abstractNumId w:val="2"/>
  </w:num>
  <w:num w:numId="10" w16cid:durableId="2022704432">
    <w:abstractNumId w:val="8"/>
  </w:num>
  <w:num w:numId="11" w16cid:durableId="315501343">
    <w:abstractNumId w:val="10"/>
  </w:num>
  <w:num w:numId="12" w16cid:durableId="1755274886">
    <w:abstractNumId w:val="7"/>
  </w:num>
  <w:num w:numId="13" w16cid:durableId="1267270039">
    <w:abstractNumId w:val="5"/>
  </w:num>
  <w:num w:numId="14" w16cid:durableId="711342124">
    <w:abstractNumId w:val="15"/>
  </w:num>
  <w:num w:numId="15" w16cid:durableId="2027440005">
    <w:abstractNumId w:val="6"/>
  </w:num>
  <w:num w:numId="16" w16cid:durableId="561910849">
    <w:abstractNumId w:val="4"/>
  </w:num>
  <w:num w:numId="17" w16cid:durableId="1380934876">
    <w:abstractNumId w:val="1"/>
  </w:num>
  <w:num w:numId="18" w16cid:durableId="949435696">
    <w:abstractNumId w:val="17"/>
  </w:num>
  <w:num w:numId="19" w16cid:durableId="18143659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lin Zhang">
    <w15:presenceInfo w15:providerId="None" w15:userId="Yilin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aex029l0prpfep52h59p2z0fpt9rpstxwt&quot;&gt;My EndNote Library&lt;record-ids&gt;&lt;item&gt;157&lt;/item&gt;&lt;/record-ids&gt;&lt;/item&gt;&lt;/Libraries&gt;"/>
  </w:docVars>
  <w:rsids>
    <w:rsidRoot w:val="00213B29"/>
    <w:rsid w:val="00071611"/>
    <w:rsid w:val="000F5C98"/>
    <w:rsid w:val="000F5E89"/>
    <w:rsid w:val="0010633F"/>
    <w:rsid w:val="00143566"/>
    <w:rsid w:val="00170AF8"/>
    <w:rsid w:val="001D0210"/>
    <w:rsid w:val="00213B29"/>
    <w:rsid w:val="00217C0B"/>
    <w:rsid w:val="00233C2D"/>
    <w:rsid w:val="00254A23"/>
    <w:rsid w:val="00287D7A"/>
    <w:rsid w:val="00303333"/>
    <w:rsid w:val="00330BA6"/>
    <w:rsid w:val="003F5AEE"/>
    <w:rsid w:val="004232EC"/>
    <w:rsid w:val="004360C9"/>
    <w:rsid w:val="00456795"/>
    <w:rsid w:val="004848E4"/>
    <w:rsid w:val="004A4CA4"/>
    <w:rsid w:val="004D1E5D"/>
    <w:rsid w:val="005054EF"/>
    <w:rsid w:val="00556D5B"/>
    <w:rsid w:val="005904E0"/>
    <w:rsid w:val="0059474C"/>
    <w:rsid w:val="005B6574"/>
    <w:rsid w:val="005B6639"/>
    <w:rsid w:val="00646F7C"/>
    <w:rsid w:val="00693D5D"/>
    <w:rsid w:val="00722630"/>
    <w:rsid w:val="00732E31"/>
    <w:rsid w:val="007344C2"/>
    <w:rsid w:val="00751015"/>
    <w:rsid w:val="00761CB7"/>
    <w:rsid w:val="00772085"/>
    <w:rsid w:val="007D4CF6"/>
    <w:rsid w:val="0081258A"/>
    <w:rsid w:val="008152BE"/>
    <w:rsid w:val="00831BD4"/>
    <w:rsid w:val="008D4062"/>
    <w:rsid w:val="009A4B1B"/>
    <w:rsid w:val="009A6F5F"/>
    <w:rsid w:val="009B077A"/>
    <w:rsid w:val="00A93B05"/>
    <w:rsid w:val="00A9537D"/>
    <w:rsid w:val="00AC2B3A"/>
    <w:rsid w:val="00B27047"/>
    <w:rsid w:val="00B60F48"/>
    <w:rsid w:val="00BA45C6"/>
    <w:rsid w:val="00BA5813"/>
    <w:rsid w:val="00C30D88"/>
    <w:rsid w:val="00C60D4C"/>
    <w:rsid w:val="00CB28FB"/>
    <w:rsid w:val="00CB4AB8"/>
    <w:rsid w:val="00CC0922"/>
    <w:rsid w:val="00CE6771"/>
    <w:rsid w:val="00DF4CF6"/>
    <w:rsid w:val="00E02DC4"/>
    <w:rsid w:val="00E56B72"/>
    <w:rsid w:val="00EA68C3"/>
    <w:rsid w:val="00EF123E"/>
    <w:rsid w:val="00F22199"/>
    <w:rsid w:val="00F30EFF"/>
    <w:rsid w:val="00F80FE3"/>
    <w:rsid w:val="01544D77"/>
    <w:rsid w:val="02758B8D"/>
    <w:rsid w:val="036A2672"/>
    <w:rsid w:val="05392028"/>
    <w:rsid w:val="0595FF9F"/>
    <w:rsid w:val="05AB7EC9"/>
    <w:rsid w:val="068D06F0"/>
    <w:rsid w:val="06A69768"/>
    <w:rsid w:val="06B2F87C"/>
    <w:rsid w:val="0764F503"/>
    <w:rsid w:val="07DFB6AD"/>
    <w:rsid w:val="082F2C11"/>
    <w:rsid w:val="0878D086"/>
    <w:rsid w:val="09AA7F02"/>
    <w:rsid w:val="0A0C6403"/>
    <w:rsid w:val="0A4515CE"/>
    <w:rsid w:val="0BB07148"/>
    <w:rsid w:val="0D943990"/>
    <w:rsid w:val="0E140F4D"/>
    <w:rsid w:val="106ABA0E"/>
    <w:rsid w:val="107BD564"/>
    <w:rsid w:val="1155EFE2"/>
    <w:rsid w:val="1211AB37"/>
    <w:rsid w:val="1269FD74"/>
    <w:rsid w:val="12A8D53C"/>
    <w:rsid w:val="12E97708"/>
    <w:rsid w:val="12F1C043"/>
    <w:rsid w:val="13F49AF5"/>
    <w:rsid w:val="1403DE81"/>
    <w:rsid w:val="144A4776"/>
    <w:rsid w:val="14A495E9"/>
    <w:rsid w:val="1618BB05"/>
    <w:rsid w:val="16198EEB"/>
    <w:rsid w:val="161E395E"/>
    <w:rsid w:val="165C01FA"/>
    <w:rsid w:val="16E2B23C"/>
    <w:rsid w:val="1828129A"/>
    <w:rsid w:val="1832B271"/>
    <w:rsid w:val="18A9EF59"/>
    <w:rsid w:val="190E3F60"/>
    <w:rsid w:val="195EDEAF"/>
    <w:rsid w:val="1AC3381E"/>
    <w:rsid w:val="1AE34EB3"/>
    <w:rsid w:val="1AEC1E12"/>
    <w:rsid w:val="1AFAAF10"/>
    <w:rsid w:val="1B37E056"/>
    <w:rsid w:val="1B6AD3B4"/>
    <w:rsid w:val="1C1D3617"/>
    <w:rsid w:val="1C45E022"/>
    <w:rsid w:val="1C967F71"/>
    <w:rsid w:val="1D034981"/>
    <w:rsid w:val="1D12D610"/>
    <w:rsid w:val="1DB90678"/>
    <w:rsid w:val="1EC57227"/>
    <w:rsid w:val="1F41CAD8"/>
    <w:rsid w:val="1F525329"/>
    <w:rsid w:val="2099B6D7"/>
    <w:rsid w:val="21195145"/>
    <w:rsid w:val="21447B5C"/>
    <w:rsid w:val="21C5777A"/>
    <w:rsid w:val="21D5D734"/>
    <w:rsid w:val="22B521A6"/>
    <w:rsid w:val="22FA7775"/>
    <w:rsid w:val="232318F4"/>
    <w:rsid w:val="24810BEF"/>
    <w:rsid w:val="24921E7F"/>
    <w:rsid w:val="25E762EC"/>
    <w:rsid w:val="261C10D4"/>
    <w:rsid w:val="28512735"/>
    <w:rsid w:val="28ABAFF3"/>
    <w:rsid w:val="2974933A"/>
    <w:rsid w:val="2986D769"/>
    <w:rsid w:val="298CE211"/>
    <w:rsid w:val="2AD40A61"/>
    <w:rsid w:val="2B10639B"/>
    <w:rsid w:val="2B72595E"/>
    <w:rsid w:val="2BEB3E3B"/>
    <w:rsid w:val="2BF4C897"/>
    <w:rsid w:val="2C072583"/>
    <w:rsid w:val="2C0E1714"/>
    <w:rsid w:val="2C934BA9"/>
    <w:rsid w:val="2D36EDC9"/>
    <w:rsid w:val="2D684960"/>
    <w:rsid w:val="2E3900C5"/>
    <w:rsid w:val="2E39FB76"/>
    <w:rsid w:val="2E42B220"/>
    <w:rsid w:val="2F42DAF8"/>
    <w:rsid w:val="2F50B0D3"/>
    <w:rsid w:val="30C7DDC1"/>
    <w:rsid w:val="3136A66B"/>
    <w:rsid w:val="3151ABF1"/>
    <w:rsid w:val="31719C38"/>
    <w:rsid w:val="31DEE11E"/>
    <w:rsid w:val="3267A211"/>
    <w:rsid w:val="32B447F2"/>
    <w:rsid w:val="32C8A1BC"/>
    <w:rsid w:val="338EEE4B"/>
    <w:rsid w:val="34037272"/>
    <w:rsid w:val="347D8506"/>
    <w:rsid w:val="35298E83"/>
    <w:rsid w:val="357EF399"/>
    <w:rsid w:val="35C67CD4"/>
    <w:rsid w:val="35E71691"/>
    <w:rsid w:val="3606D7A9"/>
    <w:rsid w:val="36195567"/>
    <w:rsid w:val="371EE14A"/>
    <w:rsid w:val="374A7243"/>
    <w:rsid w:val="3782E6F2"/>
    <w:rsid w:val="3837B409"/>
    <w:rsid w:val="38713D60"/>
    <w:rsid w:val="38DDF95C"/>
    <w:rsid w:val="39303D15"/>
    <w:rsid w:val="393D14FE"/>
    <w:rsid w:val="3AC51C7E"/>
    <w:rsid w:val="3BE15271"/>
    <w:rsid w:val="3C0C6E7D"/>
    <w:rsid w:val="3C5D6BA2"/>
    <w:rsid w:val="3CC8D377"/>
    <w:rsid w:val="3CDC897B"/>
    <w:rsid w:val="3DB15ED5"/>
    <w:rsid w:val="3DD18F85"/>
    <w:rsid w:val="3E02D175"/>
    <w:rsid w:val="3E68F83F"/>
    <w:rsid w:val="40DFB294"/>
    <w:rsid w:val="40F7DE20"/>
    <w:rsid w:val="41E432E8"/>
    <w:rsid w:val="422B8453"/>
    <w:rsid w:val="422F36F3"/>
    <w:rsid w:val="4231F855"/>
    <w:rsid w:val="43FD3048"/>
    <w:rsid w:val="4481D681"/>
    <w:rsid w:val="44A88CBA"/>
    <w:rsid w:val="44F1EB56"/>
    <w:rsid w:val="459900A9"/>
    <w:rsid w:val="45BA1BEB"/>
    <w:rsid w:val="4622180E"/>
    <w:rsid w:val="4657FF35"/>
    <w:rsid w:val="46E0BE23"/>
    <w:rsid w:val="46E4A05D"/>
    <w:rsid w:val="47D1A286"/>
    <w:rsid w:val="47F3CF96"/>
    <w:rsid w:val="486EB86E"/>
    <w:rsid w:val="49CB3048"/>
    <w:rsid w:val="4A185EE5"/>
    <w:rsid w:val="4A83A1F9"/>
    <w:rsid w:val="4AADE6B2"/>
    <w:rsid w:val="4ABA02E9"/>
    <w:rsid w:val="4ABA83C3"/>
    <w:rsid w:val="4B0ED4C4"/>
    <w:rsid w:val="4B22D8C1"/>
    <w:rsid w:val="4B4C5DEE"/>
    <w:rsid w:val="4BCB81FE"/>
    <w:rsid w:val="4BCF033B"/>
    <w:rsid w:val="4C0D7801"/>
    <w:rsid w:val="4C11F388"/>
    <w:rsid w:val="4C1FA28A"/>
    <w:rsid w:val="4CE310CD"/>
    <w:rsid w:val="4D4503EF"/>
    <w:rsid w:val="4D838B8F"/>
    <w:rsid w:val="4D8AEA31"/>
    <w:rsid w:val="4DC558BB"/>
    <w:rsid w:val="4F37EBDA"/>
    <w:rsid w:val="4FEFD226"/>
    <w:rsid w:val="505E1D7A"/>
    <w:rsid w:val="51E212E9"/>
    <w:rsid w:val="51FC7257"/>
    <w:rsid w:val="5215F196"/>
    <w:rsid w:val="523E44BF"/>
    <w:rsid w:val="5308DE06"/>
    <w:rsid w:val="5329A9C2"/>
    <w:rsid w:val="53EBC031"/>
    <w:rsid w:val="53F53314"/>
    <w:rsid w:val="542DDE3E"/>
    <w:rsid w:val="54A4AE67"/>
    <w:rsid w:val="54C57A23"/>
    <w:rsid w:val="54FDC742"/>
    <w:rsid w:val="55210718"/>
    <w:rsid w:val="560CDC85"/>
    <w:rsid w:val="56A25DC8"/>
    <w:rsid w:val="56BCD779"/>
    <w:rsid w:val="576D0568"/>
    <w:rsid w:val="58C53B51"/>
    <w:rsid w:val="58EFAD6C"/>
    <w:rsid w:val="59832D68"/>
    <w:rsid w:val="5999BFDD"/>
    <w:rsid w:val="5B3D1997"/>
    <w:rsid w:val="5B40EC34"/>
    <w:rsid w:val="5C1A8D2B"/>
    <w:rsid w:val="5C63E065"/>
    <w:rsid w:val="5D08F42C"/>
    <w:rsid w:val="5D7182DD"/>
    <w:rsid w:val="5D9F3641"/>
    <w:rsid w:val="5DD9540B"/>
    <w:rsid w:val="5E9BCF80"/>
    <w:rsid w:val="5E9E8249"/>
    <w:rsid w:val="5EB92468"/>
    <w:rsid w:val="5EBF4952"/>
    <w:rsid w:val="5F98412F"/>
    <w:rsid w:val="60612A09"/>
    <w:rsid w:val="60B00F47"/>
    <w:rsid w:val="60EA4D9E"/>
    <w:rsid w:val="6163EBBF"/>
    <w:rsid w:val="617B10DA"/>
    <w:rsid w:val="61CCCCC8"/>
    <w:rsid w:val="6229EB7C"/>
    <w:rsid w:val="63684211"/>
    <w:rsid w:val="639BF49A"/>
    <w:rsid w:val="6407609E"/>
    <w:rsid w:val="652E8AD6"/>
    <w:rsid w:val="65522469"/>
    <w:rsid w:val="65C53EAE"/>
    <w:rsid w:val="65DF7988"/>
    <w:rsid w:val="669B9848"/>
    <w:rsid w:val="67670DF4"/>
    <w:rsid w:val="67C03417"/>
    <w:rsid w:val="688248C6"/>
    <w:rsid w:val="6883E627"/>
    <w:rsid w:val="68D6CB3E"/>
    <w:rsid w:val="6920CC3F"/>
    <w:rsid w:val="695FE512"/>
    <w:rsid w:val="69B06583"/>
    <w:rsid w:val="69EEE3F2"/>
    <w:rsid w:val="6A5D439C"/>
    <w:rsid w:val="6A5E9761"/>
    <w:rsid w:val="6AAD586A"/>
    <w:rsid w:val="6ABA7A96"/>
    <w:rsid w:val="6AEBC385"/>
    <w:rsid w:val="6B47A032"/>
    <w:rsid w:val="6BAD9016"/>
    <w:rsid w:val="6CE6AC28"/>
    <w:rsid w:val="6CE7AA4B"/>
    <w:rsid w:val="6DF21B58"/>
    <w:rsid w:val="6E2D5FAE"/>
    <w:rsid w:val="6E6C564A"/>
    <w:rsid w:val="6E99EDEB"/>
    <w:rsid w:val="6F3C4F0D"/>
    <w:rsid w:val="6F74C35C"/>
    <w:rsid w:val="700826AB"/>
    <w:rsid w:val="704EC74B"/>
    <w:rsid w:val="70AD4CFB"/>
    <w:rsid w:val="70B8219F"/>
    <w:rsid w:val="712A8143"/>
    <w:rsid w:val="7159A33B"/>
    <w:rsid w:val="7204A60E"/>
    <w:rsid w:val="739CBA0E"/>
    <w:rsid w:val="73AE6B8D"/>
    <w:rsid w:val="73CA246B"/>
    <w:rsid w:val="7448347F"/>
    <w:rsid w:val="748C18E1"/>
    <w:rsid w:val="74D979FE"/>
    <w:rsid w:val="7514A208"/>
    <w:rsid w:val="76754A5F"/>
    <w:rsid w:val="77182CE8"/>
    <w:rsid w:val="786375DF"/>
    <w:rsid w:val="7872EAC1"/>
    <w:rsid w:val="79AB5585"/>
    <w:rsid w:val="79DC6C88"/>
    <w:rsid w:val="7A474D44"/>
    <w:rsid w:val="7A7D5264"/>
    <w:rsid w:val="7B81EE44"/>
    <w:rsid w:val="7BE93644"/>
    <w:rsid w:val="7CCB4CAA"/>
    <w:rsid w:val="7D15F3F1"/>
    <w:rsid w:val="7D449604"/>
    <w:rsid w:val="7DAE81E1"/>
    <w:rsid w:val="7DE80F6D"/>
    <w:rsid w:val="7F3483E4"/>
    <w:rsid w:val="7F56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F79C"/>
  <w15:chartTrackingRefBased/>
  <w15:docId w15:val="{57C84DD8-8038-314A-ADE6-BF6035C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29"/>
    <w:pPr>
      <w:spacing w:after="160" w:line="259" w:lineRule="auto"/>
    </w:pPr>
    <w:rPr>
      <w:sz w:val="22"/>
      <w:szCs w:val="22"/>
    </w:rPr>
  </w:style>
  <w:style w:type="paragraph" w:styleId="Heading4">
    <w:name w:val="heading 4"/>
    <w:basedOn w:val="Normal"/>
    <w:next w:val="Normal"/>
    <w:link w:val="Heading4Char"/>
    <w:uiPriority w:val="9"/>
    <w:unhideWhenUsed/>
    <w:qFormat/>
    <w:rsid w:val="00722630"/>
    <w:pPr>
      <w:keepNext/>
      <w:keepLines/>
      <w:spacing w:before="40"/>
      <w:outlineLvl w:val="3"/>
    </w:pPr>
    <w:rPr>
      <w:rFonts w:ascii="Times" w:eastAsiaTheme="majorEastAsia" w:hAnsi="Time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303333"/>
    <w:pPr>
      <w:ind w:left="240"/>
    </w:pPr>
    <w:rPr>
      <w:rFonts w:ascii="Times New Roman" w:hAnsi="Times New Roman" w:cstheme="minorHAnsi"/>
      <w:smallCaps/>
      <w:sz w:val="20"/>
      <w:szCs w:val="20"/>
    </w:rPr>
  </w:style>
  <w:style w:type="paragraph" w:styleId="TOC1">
    <w:name w:val="toc 1"/>
    <w:basedOn w:val="Normal"/>
    <w:next w:val="Normal"/>
    <w:autoRedefine/>
    <w:uiPriority w:val="39"/>
    <w:unhideWhenUsed/>
    <w:rsid w:val="00303333"/>
    <w:pPr>
      <w:spacing w:before="120" w:after="120"/>
    </w:pPr>
    <w:rPr>
      <w:rFonts w:ascii="Times New Roman" w:hAnsi="Times New Roman" w:cstheme="minorHAnsi"/>
      <w:b/>
      <w:bCs/>
      <w:caps/>
      <w:sz w:val="20"/>
      <w:szCs w:val="20"/>
    </w:rPr>
  </w:style>
  <w:style w:type="paragraph" w:styleId="TOC3">
    <w:name w:val="toc 3"/>
    <w:basedOn w:val="Normal"/>
    <w:next w:val="Normal"/>
    <w:autoRedefine/>
    <w:uiPriority w:val="39"/>
    <w:unhideWhenUsed/>
    <w:rsid w:val="00303333"/>
    <w:pPr>
      <w:ind w:left="480"/>
    </w:pPr>
    <w:rPr>
      <w:rFonts w:ascii="Times New Roman" w:hAnsi="Times New Roman" w:cstheme="minorHAnsi"/>
      <w:i/>
      <w:iCs/>
      <w:sz w:val="20"/>
      <w:szCs w:val="20"/>
    </w:rPr>
  </w:style>
  <w:style w:type="paragraph" w:styleId="TOC4">
    <w:name w:val="toc 4"/>
    <w:basedOn w:val="Normal"/>
    <w:next w:val="Normal"/>
    <w:autoRedefine/>
    <w:uiPriority w:val="39"/>
    <w:semiHidden/>
    <w:unhideWhenUsed/>
    <w:rsid w:val="00303333"/>
    <w:pPr>
      <w:ind w:left="720"/>
    </w:pPr>
    <w:rPr>
      <w:rFonts w:ascii="Times New Roman" w:hAnsi="Times New Roman" w:cstheme="minorHAnsi"/>
      <w:sz w:val="18"/>
      <w:szCs w:val="18"/>
    </w:rPr>
  </w:style>
  <w:style w:type="paragraph" w:styleId="TOC5">
    <w:name w:val="toc 5"/>
    <w:basedOn w:val="Normal"/>
    <w:next w:val="Normal"/>
    <w:autoRedefine/>
    <w:uiPriority w:val="39"/>
    <w:semiHidden/>
    <w:unhideWhenUsed/>
    <w:rsid w:val="00303333"/>
    <w:pPr>
      <w:ind w:left="960"/>
    </w:pPr>
    <w:rPr>
      <w:rFonts w:ascii="Times New Roman" w:hAnsi="Times New Roman" w:cstheme="minorHAnsi"/>
      <w:sz w:val="18"/>
      <w:szCs w:val="18"/>
    </w:rPr>
  </w:style>
  <w:style w:type="paragraph" w:styleId="TOC6">
    <w:name w:val="toc 6"/>
    <w:basedOn w:val="Normal"/>
    <w:next w:val="Normal"/>
    <w:autoRedefine/>
    <w:uiPriority w:val="39"/>
    <w:semiHidden/>
    <w:unhideWhenUsed/>
    <w:rsid w:val="00303333"/>
    <w:pPr>
      <w:ind w:left="1200"/>
    </w:pPr>
    <w:rPr>
      <w:rFonts w:ascii="Times New Roman" w:hAnsi="Times New Roman" w:cstheme="minorHAnsi"/>
      <w:sz w:val="18"/>
      <w:szCs w:val="18"/>
    </w:rPr>
  </w:style>
  <w:style w:type="paragraph" w:styleId="TOC7">
    <w:name w:val="toc 7"/>
    <w:basedOn w:val="Normal"/>
    <w:next w:val="Normal"/>
    <w:autoRedefine/>
    <w:uiPriority w:val="39"/>
    <w:semiHidden/>
    <w:unhideWhenUsed/>
    <w:rsid w:val="00303333"/>
    <w:pPr>
      <w:ind w:left="1440"/>
    </w:pPr>
    <w:rPr>
      <w:rFonts w:ascii="Times New Roman" w:hAnsi="Times New Roman" w:cstheme="minorHAnsi"/>
      <w:sz w:val="18"/>
      <w:szCs w:val="18"/>
    </w:rPr>
  </w:style>
  <w:style w:type="paragraph" w:styleId="TOC8">
    <w:name w:val="toc 8"/>
    <w:basedOn w:val="Normal"/>
    <w:next w:val="Normal"/>
    <w:autoRedefine/>
    <w:uiPriority w:val="39"/>
    <w:semiHidden/>
    <w:unhideWhenUsed/>
    <w:rsid w:val="00303333"/>
    <w:pPr>
      <w:ind w:left="1680"/>
    </w:pPr>
    <w:rPr>
      <w:rFonts w:ascii="Times New Roman" w:hAnsi="Times New Roman" w:cstheme="minorHAnsi"/>
      <w:sz w:val="18"/>
      <w:szCs w:val="18"/>
    </w:rPr>
  </w:style>
  <w:style w:type="paragraph" w:styleId="TOC9">
    <w:name w:val="toc 9"/>
    <w:basedOn w:val="Normal"/>
    <w:next w:val="Normal"/>
    <w:autoRedefine/>
    <w:uiPriority w:val="39"/>
    <w:semiHidden/>
    <w:unhideWhenUsed/>
    <w:rsid w:val="00303333"/>
    <w:pPr>
      <w:ind w:left="1920"/>
    </w:pPr>
    <w:rPr>
      <w:rFonts w:ascii="Times New Roman" w:hAnsi="Times New Roman" w:cstheme="minorHAnsi"/>
      <w:sz w:val="18"/>
      <w:szCs w:val="18"/>
    </w:rPr>
  </w:style>
  <w:style w:type="character" w:customStyle="1" w:styleId="Heading4Char">
    <w:name w:val="Heading 4 Char"/>
    <w:basedOn w:val="DefaultParagraphFont"/>
    <w:link w:val="Heading4"/>
    <w:uiPriority w:val="9"/>
    <w:rsid w:val="00722630"/>
    <w:rPr>
      <w:rFonts w:ascii="Times" w:eastAsiaTheme="majorEastAsia" w:hAnsi="Times" w:cstheme="majorBidi"/>
      <w:i/>
      <w:iCs/>
      <w:color w:val="000000" w:themeColor="text1"/>
    </w:rPr>
  </w:style>
  <w:style w:type="paragraph" w:styleId="ListParagraph">
    <w:name w:val="List Paragraph"/>
    <w:basedOn w:val="Normal"/>
    <w:uiPriority w:val="34"/>
    <w:qFormat/>
    <w:rsid w:val="00213B29"/>
    <w:pPr>
      <w:ind w:left="720"/>
      <w:contextualSpacing/>
    </w:pPr>
  </w:style>
  <w:style w:type="paragraph" w:customStyle="1" w:styleId="EndNoteBibliographyTitle">
    <w:name w:val="EndNote Bibliography Title"/>
    <w:basedOn w:val="Normal"/>
    <w:link w:val="EndNoteBibliographyTitleChar"/>
    <w:rsid w:val="001063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0633F"/>
    <w:rPr>
      <w:rFonts w:ascii="Calibri" w:hAnsi="Calibri" w:cs="Calibri"/>
      <w:noProof/>
      <w:sz w:val="22"/>
      <w:szCs w:val="22"/>
    </w:rPr>
  </w:style>
  <w:style w:type="paragraph" w:customStyle="1" w:styleId="EndNoteBibliography">
    <w:name w:val="EndNote Bibliography"/>
    <w:basedOn w:val="Normal"/>
    <w:link w:val="EndNoteBibliographyChar"/>
    <w:rsid w:val="001063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0633F"/>
    <w:rPr>
      <w:rFonts w:ascii="Calibri" w:hAnsi="Calibri" w:cs="Calibri"/>
      <w:noProof/>
      <w:sz w:val="22"/>
      <w:szCs w:val="22"/>
    </w:rPr>
  </w:style>
  <w:style w:type="paragraph" w:styleId="Revision">
    <w:name w:val="Revision"/>
    <w:hidden/>
    <w:uiPriority w:val="99"/>
    <w:semiHidden/>
    <w:rsid w:val="005904E0"/>
    <w:rPr>
      <w:sz w:val="22"/>
      <w:szCs w:val="22"/>
    </w:rPr>
  </w:style>
  <w:style w:type="character" w:styleId="CommentReference">
    <w:name w:val="annotation reference"/>
    <w:basedOn w:val="DefaultParagraphFont"/>
    <w:uiPriority w:val="99"/>
    <w:semiHidden/>
    <w:unhideWhenUsed/>
    <w:rsid w:val="005904E0"/>
    <w:rPr>
      <w:sz w:val="16"/>
      <w:szCs w:val="16"/>
    </w:rPr>
  </w:style>
  <w:style w:type="paragraph" w:styleId="CommentText">
    <w:name w:val="annotation text"/>
    <w:basedOn w:val="Normal"/>
    <w:link w:val="CommentTextChar"/>
    <w:uiPriority w:val="99"/>
    <w:unhideWhenUsed/>
    <w:rsid w:val="005904E0"/>
    <w:pPr>
      <w:spacing w:line="240" w:lineRule="auto"/>
    </w:pPr>
    <w:rPr>
      <w:sz w:val="20"/>
      <w:szCs w:val="20"/>
    </w:rPr>
  </w:style>
  <w:style w:type="character" w:customStyle="1" w:styleId="CommentTextChar">
    <w:name w:val="Comment Text Char"/>
    <w:basedOn w:val="DefaultParagraphFont"/>
    <w:link w:val="CommentText"/>
    <w:uiPriority w:val="99"/>
    <w:rsid w:val="005904E0"/>
    <w:rPr>
      <w:sz w:val="20"/>
      <w:szCs w:val="20"/>
    </w:rPr>
  </w:style>
  <w:style w:type="paragraph" w:styleId="CommentSubject">
    <w:name w:val="annotation subject"/>
    <w:basedOn w:val="CommentText"/>
    <w:next w:val="CommentText"/>
    <w:link w:val="CommentSubjectChar"/>
    <w:uiPriority w:val="99"/>
    <w:semiHidden/>
    <w:unhideWhenUsed/>
    <w:rsid w:val="005904E0"/>
    <w:rPr>
      <w:b/>
      <w:bCs/>
    </w:rPr>
  </w:style>
  <w:style w:type="character" w:customStyle="1" w:styleId="CommentSubjectChar">
    <w:name w:val="Comment Subject Char"/>
    <w:basedOn w:val="CommentTextChar"/>
    <w:link w:val="CommentSubject"/>
    <w:uiPriority w:val="99"/>
    <w:semiHidden/>
    <w:rsid w:val="005904E0"/>
    <w:rPr>
      <w:b/>
      <w:bCs/>
      <w:sz w:val="20"/>
      <w:szCs w:val="20"/>
    </w:rPr>
  </w:style>
  <w:style w:type="character" w:styleId="Hyperlink">
    <w:name w:val="Hyperlink"/>
    <w:basedOn w:val="DefaultParagraphFont"/>
    <w:uiPriority w:val="99"/>
    <w:unhideWhenUsed/>
    <w:rsid w:val="005904E0"/>
    <w:rPr>
      <w:color w:val="0563C1" w:themeColor="hyperlink"/>
      <w:u w:val="single"/>
    </w:rPr>
  </w:style>
  <w:style w:type="character" w:styleId="UnresolvedMention">
    <w:name w:val="Unresolved Mention"/>
    <w:basedOn w:val="DefaultParagraphFont"/>
    <w:uiPriority w:val="99"/>
    <w:semiHidden/>
    <w:unhideWhenUsed/>
    <w:rsid w:val="005904E0"/>
    <w:rPr>
      <w:color w:val="605E5C"/>
      <w:shd w:val="clear" w:color="auto" w:fill="E1DFDD"/>
    </w:rPr>
  </w:style>
  <w:style w:type="character" w:styleId="FollowedHyperlink">
    <w:name w:val="FollowedHyperlink"/>
    <w:basedOn w:val="DefaultParagraphFont"/>
    <w:uiPriority w:val="99"/>
    <w:semiHidden/>
    <w:unhideWhenUsed/>
    <w:rsid w:val="00F80FE3"/>
    <w:rPr>
      <w:color w:val="954F72" w:themeColor="followedHyperlink"/>
      <w:u w:val="single"/>
    </w:rPr>
  </w:style>
  <w:style w:type="paragraph" w:styleId="BalloonText">
    <w:name w:val="Balloon Text"/>
    <w:basedOn w:val="Normal"/>
    <w:link w:val="BalloonTextChar"/>
    <w:uiPriority w:val="99"/>
    <w:semiHidden/>
    <w:unhideWhenUsed/>
    <w:rsid w:val="000F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C98"/>
    <w:rPr>
      <w:rFonts w:ascii="Segoe UI" w:hAnsi="Segoe UI" w:cs="Segoe UI"/>
      <w:sz w:val="18"/>
      <w:szCs w:val="18"/>
    </w:rPr>
  </w:style>
  <w:style w:type="paragraph" w:styleId="NormalWeb">
    <w:name w:val="Normal (Web)"/>
    <w:basedOn w:val="Normal"/>
    <w:uiPriority w:val="99"/>
    <w:semiHidden/>
    <w:unhideWhenUsed/>
    <w:rsid w:val="00831B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751">
      <w:bodyDiv w:val="1"/>
      <w:marLeft w:val="0"/>
      <w:marRight w:val="0"/>
      <w:marTop w:val="0"/>
      <w:marBottom w:val="0"/>
      <w:divBdr>
        <w:top w:val="none" w:sz="0" w:space="0" w:color="auto"/>
        <w:left w:val="none" w:sz="0" w:space="0" w:color="auto"/>
        <w:bottom w:val="none" w:sz="0" w:space="0" w:color="auto"/>
        <w:right w:val="none" w:sz="0" w:space="0" w:color="auto"/>
      </w:divBdr>
    </w:div>
    <w:div w:id="344092753">
      <w:bodyDiv w:val="1"/>
      <w:marLeft w:val="0"/>
      <w:marRight w:val="0"/>
      <w:marTop w:val="0"/>
      <w:marBottom w:val="0"/>
      <w:divBdr>
        <w:top w:val="none" w:sz="0" w:space="0" w:color="auto"/>
        <w:left w:val="none" w:sz="0" w:space="0" w:color="auto"/>
        <w:bottom w:val="none" w:sz="0" w:space="0" w:color="auto"/>
        <w:right w:val="none" w:sz="0" w:space="0" w:color="auto"/>
      </w:divBdr>
    </w:div>
    <w:div w:id="637421880">
      <w:bodyDiv w:val="1"/>
      <w:marLeft w:val="0"/>
      <w:marRight w:val="0"/>
      <w:marTop w:val="0"/>
      <w:marBottom w:val="0"/>
      <w:divBdr>
        <w:top w:val="none" w:sz="0" w:space="0" w:color="auto"/>
        <w:left w:val="none" w:sz="0" w:space="0" w:color="auto"/>
        <w:bottom w:val="none" w:sz="0" w:space="0" w:color="auto"/>
        <w:right w:val="none" w:sz="0" w:space="0" w:color="auto"/>
      </w:divBdr>
    </w:div>
    <w:div w:id="830750484">
      <w:bodyDiv w:val="1"/>
      <w:marLeft w:val="0"/>
      <w:marRight w:val="0"/>
      <w:marTop w:val="0"/>
      <w:marBottom w:val="0"/>
      <w:divBdr>
        <w:top w:val="none" w:sz="0" w:space="0" w:color="auto"/>
        <w:left w:val="none" w:sz="0" w:space="0" w:color="auto"/>
        <w:bottom w:val="none" w:sz="0" w:space="0" w:color="auto"/>
        <w:right w:val="none" w:sz="0" w:space="0" w:color="auto"/>
      </w:divBdr>
      <w:divsChild>
        <w:div w:id="2111657847">
          <w:marLeft w:val="259"/>
          <w:marRight w:val="0"/>
          <w:marTop w:val="0"/>
          <w:marBottom w:val="0"/>
          <w:divBdr>
            <w:top w:val="none" w:sz="0" w:space="0" w:color="auto"/>
            <w:left w:val="none" w:sz="0" w:space="0" w:color="auto"/>
            <w:bottom w:val="none" w:sz="0" w:space="0" w:color="auto"/>
            <w:right w:val="none" w:sz="0" w:space="0" w:color="auto"/>
          </w:divBdr>
        </w:div>
        <w:div w:id="1283415538">
          <w:marLeft w:val="259"/>
          <w:marRight w:val="0"/>
          <w:marTop w:val="0"/>
          <w:marBottom w:val="0"/>
          <w:divBdr>
            <w:top w:val="none" w:sz="0" w:space="0" w:color="auto"/>
            <w:left w:val="none" w:sz="0" w:space="0" w:color="auto"/>
            <w:bottom w:val="none" w:sz="0" w:space="0" w:color="auto"/>
            <w:right w:val="none" w:sz="0" w:space="0" w:color="auto"/>
          </w:divBdr>
        </w:div>
        <w:div w:id="1638611393">
          <w:marLeft w:val="274"/>
          <w:marRight w:val="0"/>
          <w:marTop w:val="0"/>
          <w:marBottom w:val="0"/>
          <w:divBdr>
            <w:top w:val="none" w:sz="0" w:space="0" w:color="auto"/>
            <w:left w:val="none" w:sz="0" w:space="0" w:color="auto"/>
            <w:bottom w:val="none" w:sz="0" w:space="0" w:color="auto"/>
            <w:right w:val="none" w:sz="0" w:space="0" w:color="auto"/>
          </w:divBdr>
        </w:div>
        <w:div w:id="498231979">
          <w:marLeft w:val="259"/>
          <w:marRight w:val="0"/>
          <w:marTop w:val="0"/>
          <w:marBottom w:val="0"/>
          <w:divBdr>
            <w:top w:val="none" w:sz="0" w:space="0" w:color="auto"/>
            <w:left w:val="none" w:sz="0" w:space="0" w:color="auto"/>
            <w:bottom w:val="none" w:sz="0" w:space="0" w:color="auto"/>
            <w:right w:val="none" w:sz="0" w:space="0" w:color="auto"/>
          </w:divBdr>
        </w:div>
        <w:div w:id="1549301973">
          <w:marLeft w:val="274"/>
          <w:marRight w:val="0"/>
          <w:marTop w:val="0"/>
          <w:marBottom w:val="0"/>
          <w:divBdr>
            <w:top w:val="none" w:sz="0" w:space="0" w:color="auto"/>
            <w:left w:val="none" w:sz="0" w:space="0" w:color="auto"/>
            <w:bottom w:val="none" w:sz="0" w:space="0" w:color="auto"/>
            <w:right w:val="none" w:sz="0" w:space="0" w:color="auto"/>
          </w:divBdr>
        </w:div>
        <w:div w:id="1611353167">
          <w:marLeft w:val="259"/>
          <w:marRight w:val="0"/>
          <w:marTop w:val="0"/>
          <w:marBottom w:val="0"/>
          <w:divBdr>
            <w:top w:val="none" w:sz="0" w:space="0" w:color="auto"/>
            <w:left w:val="none" w:sz="0" w:space="0" w:color="auto"/>
            <w:bottom w:val="none" w:sz="0" w:space="0" w:color="auto"/>
            <w:right w:val="none" w:sz="0" w:space="0" w:color="auto"/>
          </w:divBdr>
        </w:div>
        <w:div w:id="1030494006">
          <w:marLeft w:val="259"/>
          <w:marRight w:val="0"/>
          <w:marTop w:val="0"/>
          <w:marBottom w:val="0"/>
          <w:divBdr>
            <w:top w:val="none" w:sz="0" w:space="0" w:color="auto"/>
            <w:left w:val="none" w:sz="0" w:space="0" w:color="auto"/>
            <w:bottom w:val="none" w:sz="0" w:space="0" w:color="auto"/>
            <w:right w:val="none" w:sz="0" w:space="0" w:color="auto"/>
          </w:divBdr>
        </w:div>
        <w:div w:id="2108193067">
          <w:marLeft w:val="259"/>
          <w:marRight w:val="0"/>
          <w:marTop w:val="0"/>
          <w:marBottom w:val="0"/>
          <w:divBdr>
            <w:top w:val="none" w:sz="0" w:space="0" w:color="auto"/>
            <w:left w:val="none" w:sz="0" w:space="0" w:color="auto"/>
            <w:bottom w:val="none" w:sz="0" w:space="0" w:color="auto"/>
            <w:right w:val="none" w:sz="0" w:space="0" w:color="auto"/>
          </w:divBdr>
        </w:div>
      </w:divsChild>
    </w:div>
    <w:div w:id="1050418428">
      <w:bodyDiv w:val="1"/>
      <w:marLeft w:val="0"/>
      <w:marRight w:val="0"/>
      <w:marTop w:val="0"/>
      <w:marBottom w:val="0"/>
      <w:divBdr>
        <w:top w:val="none" w:sz="0" w:space="0" w:color="auto"/>
        <w:left w:val="none" w:sz="0" w:space="0" w:color="auto"/>
        <w:bottom w:val="none" w:sz="0" w:space="0" w:color="auto"/>
        <w:right w:val="none" w:sz="0" w:space="0" w:color="auto"/>
      </w:divBdr>
    </w:div>
    <w:div w:id="15599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FE07-9AB6-42FC-BD5F-352E6B6C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Apoorva</dc:creator>
  <cp:keywords/>
  <dc:description/>
  <cp:lastModifiedBy>Yilin Zhang</cp:lastModifiedBy>
  <cp:revision>5</cp:revision>
  <dcterms:created xsi:type="dcterms:W3CDTF">2022-04-04T00:54:00Z</dcterms:created>
  <dcterms:modified xsi:type="dcterms:W3CDTF">2022-04-21T22:19:00Z</dcterms:modified>
</cp:coreProperties>
</file>