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3A6C" w14:textId="77777777" w:rsidR="001E103B" w:rsidRPr="00000261" w:rsidRDefault="001E103B" w:rsidP="00180A40">
      <w:pPr>
        <w:spacing w:after="0" w:line="240" w:lineRule="auto"/>
        <w:contextualSpacing/>
        <w:rPr>
          <w:rFonts w:eastAsia="Times New Roman" w:cstheme="minorHAnsi"/>
          <w:b/>
          <w:bCs/>
          <w:color w:val="000000" w:themeColor="text1"/>
        </w:rPr>
      </w:pPr>
      <w:r w:rsidRPr="00000261">
        <w:rPr>
          <w:rFonts w:eastAsia="Times New Roman" w:cstheme="minorHAnsi"/>
          <w:b/>
          <w:bCs/>
          <w:color w:val="000000" w:themeColor="text1"/>
        </w:rPr>
        <w:t xml:space="preserve">Author: </w:t>
      </w:r>
      <w:r w:rsidRPr="00000261">
        <w:rPr>
          <w:rFonts w:eastAsia="Times New Roman" w:cstheme="minorHAnsi"/>
          <w:color w:val="000000" w:themeColor="text1"/>
        </w:rPr>
        <w:t xml:space="preserve">Nikki </w:t>
      </w:r>
      <w:proofErr w:type="spellStart"/>
      <w:r w:rsidRPr="00000261">
        <w:rPr>
          <w:rFonts w:eastAsia="Times New Roman" w:cstheme="minorHAnsi"/>
          <w:color w:val="000000" w:themeColor="text1"/>
        </w:rPr>
        <w:t>Niewold</w:t>
      </w:r>
      <w:proofErr w:type="spellEnd"/>
      <w:r w:rsidRPr="00000261">
        <w:rPr>
          <w:rFonts w:eastAsia="Times New Roman" w:cstheme="minorHAnsi"/>
          <w:color w:val="000000" w:themeColor="text1"/>
        </w:rPr>
        <w:t xml:space="preserve"> Zarling, MD</w:t>
      </w:r>
    </w:p>
    <w:p w14:paraId="618A34D9" w14:textId="77777777" w:rsidR="001E103B" w:rsidRPr="00000261" w:rsidRDefault="001E103B" w:rsidP="00180A40">
      <w:pPr>
        <w:spacing w:after="0" w:line="240" w:lineRule="auto"/>
        <w:contextualSpacing/>
        <w:rPr>
          <w:rFonts w:eastAsia="Times New Roman" w:cstheme="minorHAnsi"/>
          <w:color w:val="000000" w:themeColor="text1"/>
        </w:rPr>
      </w:pPr>
      <w:r w:rsidRPr="00000261">
        <w:rPr>
          <w:rFonts w:eastAsia="Times New Roman" w:cstheme="minorHAnsi"/>
          <w:b/>
          <w:bCs/>
          <w:color w:val="000000" w:themeColor="text1"/>
        </w:rPr>
        <w:t xml:space="preserve">Expert reviewer(s): </w:t>
      </w:r>
      <w:r w:rsidRPr="00000261">
        <w:rPr>
          <w:rFonts w:eastAsia="Times New Roman" w:cstheme="minorHAnsi"/>
          <w:color w:val="000000" w:themeColor="text1"/>
        </w:rPr>
        <w:t>Addie McClintock, MD</w:t>
      </w:r>
    </w:p>
    <w:p w14:paraId="0E1A4D17" w14:textId="77777777" w:rsidR="001E103B" w:rsidRPr="00BE73DA" w:rsidRDefault="001E103B" w:rsidP="00180A40">
      <w:pPr>
        <w:spacing w:after="0" w:line="240" w:lineRule="auto"/>
        <w:contextualSpacing/>
        <w:rPr>
          <w:rFonts w:eastAsia="Times New Roman" w:cstheme="minorHAnsi"/>
          <w:b/>
          <w:bCs/>
        </w:rPr>
      </w:pPr>
    </w:p>
    <w:p w14:paraId="220C202F" w14:textId="77777777" w:rsidR="001E103B" w:rsidRDefault="001E103B" w:rsidP="00180A40">
      <w:pPr>
        <w:spacing w:after="0" w:line="240" w:lineRule="auto"/>
        <w:contextualSpacing/>
        <w:outlineLvl w:val="1"/>
        <w:rPr>
          <w:rFonts w:eastAsia="Times New Roman" w:cstheme="minorHAnsi"/>
          <w:color w:val="000000"/>
        </w:rPr>
      </w:pPr>
      <w:r w:rsidRPr="00BE73DA">
        <w:rPr>
          <w:rFonts w:eastAsia="Times New Roman" w:cstheme="minorHAnsi"/>
          <w:b/>
          <w:bCs/>
          <w:color w:val="000000"/>
        </w:rPr>
        <w:t>Objectives</w:t>
      </w:r>
      <w:r>
        <w:rPr>
          <w:rFonts w:eastAsia="Times New Roman" w:cstheme="minorHAnsi"/>
          <w:color w:val="000000"/>
        </w:rPr>
        <w:t xml:space="preserve"> </w:t>
      </w:r>
    </w:p>
    <w:p w14:paraId="463B60B9" w14:textId="77777777" w:rsidR="001E103B" w:rsidRPr="00000261" w:rsidRDefault="001E103B" w:rsidP="00180A40">
      <w:pPr>
        <w:pStyle w:val="ListParagraph"/>
        <w:numPr>
          <w:ilvl w:val="0"/>
          <w:numId w:val="3"/>
        </w:numPr>
        <w:spacing w:after="0" w:line="240" w:lineRule="auto"/>
        <w:outlineLvl w:val="1"/>
        <w:rPr>
          <w:rFonts w:eastAsia="Times New Roman" w:cstheme="minorHAnsi"/>
        </w:rPr>
      </w:pPr>
      <w:r w:rsidRPr="00000261">
        <w:rPr>
          <w:rFonts w:eastAsia="Times New Roman" w:cstheme="minorHAnsi"/>
        </w:rPr>
        <w:t xml:space="preserve">Define abnormal uterine bleeding. </w:t>
      </w:r>
    </w:p>
    <w:p w14:paraId="6EFA7524" w14:textId="77777777" w:rsidR="001E103B" w:rsidRDefault="001E103B" w:rsidP="00180A40">
      <w:pPr>
        <w:pStyle w:val="ListParagraph"/>
        <w:numPr>
          <w:ilvl w:val="0"/>
          <w:numId w:val="3"/>
        </w:numPr>
        <w:spacing w:after="0" w:line="240" w:lineRule="auto"/>
        <w:outlineLvl w:val="1"/>
        <w:rPr>
          <w:rFonts w:eastAsia="Times New Roman" w:cstheme="minorHAnsi"/>
        </w:rPr>
      </w:pPr>
      <w:r>
        <w:rPr>
          <w:rFonts w:eastAsia="Times New Roman" w:cstheme="minorHAnsi"/>
        </w:rPr>
        <w:t xml:space="preserve">Identify common causes of abnormal uterine bleeding using the PALM-COEIN mnemonic. </w:t>
      </w:r>
    </w:p>
    <w:p w14:paraId="196CE16A" w14:textId="77777777" w:rsidR="001E103B" w:rsidRDefault="001E103B" w:rsidP="00180A40">
      <w:pPr>
        <w:pStyle w:val="ListParagraph"/>
        <w:numPr>
          <w:ilvl w:val="0"/>
          <w:numId w:val="3"/>
        </w:numPr>
        <w:spacing w:after="0" w:line="240" w:lineRule="auto"/>
        <w:outlineLvl w:val="1"/>
        <w:rPr>
          <w:rFonts w:eastAsia="Times New Roman" w:cstheme="minorHAnsi"/>
        </w:rPr>
      </w:pPr>
      <w:r>
        <w:rPr>
          <w:rFonts w:eastAsia="Times New Roman" w:cstheme="minorHAnsi"/>
        </w:rPr>
        <w:t xml:space="preserve">Determine basic lab and imaging evaluation of abnormal uterine bleeding. </w:t>
      </w:r>
    </w:p>
    <w:p w14:paraId="01105263" w14:textId="77777777" w:rsidR="001E103B" w:rsidRPr="00307A15" w:rsidRDefault="001E103B" w:rsidP="00180A40">
      <w:pPr>
        <w:spacing w:after="0" w:line="240" w:lineRule="auto"/>
        <w:outlineLvl w:val="1"/>
        <w:rPr>
          <w:rFonts w:eastAsia="Times New Roman" w:cstheme="minorHAnsi"/>
        </w:rPr>
      </w:pPr>
    </w:p>
    <w:p w14:paraId="6A356040" w14:textId="35A561AA" w:rsidR="001E103B" w:rsidRPr="00BE73DA" w:rsidRDefault="001E103B" w:rsidP="00180A40">
      <w:pPr>
        <w:spacing w:after="0" w:line="240" w:lineRule="auto"/>
        <w:contextualSpacing/>
        <w:rPr>
          <w:rFonts w:eastAsia="Times New Roman" w:cstheme="minorHAnsi"/>
          <w:b/>
          <w:bCs/>
        </w:rPr>
      </w:pPr>
      <w:r w:rsidRPr="00BE73DA">
        <w:rPr>
          <w:rFonts w:eastAsia="Times New Roman" w:cstheme="minorHAnsi"/>
          <w:b/>
          <w:bCs/>
        </w:rPr>
        <w:t>Teaching Instructions</w:t>
      </w:r>
      <w:r>
        <w:rPr>
          <w:rFonts w:eastAsia="Times New Roman" w:cstheme="minorHAnsi"/>
          <w:b/>
          <w:bCs/>
        </w:rPr>
        <w:t xml:space="preserve"> </w:t>
      </w:r>
    </w:p>
    <w:p w14:paraId="37A5445D" w14:textId="4555D1E9" w:rsidR="001E103B" w:rsidRDefault="001E103B" w:rsidP="007528C3">
      <w:pPr>
        <w:spacing w:after="0" w:line="240" w:lineRule="auto"/>
        <w:contextualSpacing/>
        <w:rPr>
          <w:rFonts w:eastAsia="Times New Roman" w:cstheme="minorHAnsi"/>
        </w:rPr>
      </w:pPr>
      <w:r w:rsidRPr="00BE73DA">
        <w:rPr>
          <w:rFonts w:eastAsia="Times New Roman" w:cstheme="minorHAnsi"/>
        </w:rPr>
        <w:t xml:space="preserve">Plan to spend at </w:t>
      </w:r>
      <w:r w:rsidRPr="009310D3">
        <w:rPr>
          <w:rFonts w:eastAsia="Times New Roman" w:cstheme="minorHAnsi"/>
        </w:rPr>
        <w:t xml:space="preserve">least </w:t>
      </w:r>
      <w:r w:rsidR="009E397A" w:rsidRPr="009310D3">
        <w:rPr>
          <w:rFonts w:eastAsia="Times New Roman" w:cstheme="minorHAnsi"/>
        </w:rPr>
        <w:t xml:space="preserve">30-60 </w:t>
      </w:r>
      <w:r w:rsidRPr="009310D3">
        <w:rPr>
          <w:rFonts w:eastAsia="Times New Roman" w:cstheme="minorHAnsi"/>
        </w:rPr>
        <w:t>m</w:t>
      </w:r>
      <w:r w:rsidRPr="00BE73DA">
        <w:rPr>
          <w:rFonts w:eastAsia="Times New Roman" w:cstheme="minorHAnsi"/>
        </w:rPr>
        <w:t>inutes preparing for this talk</w:t>
      </w:r>
      <w:r w:rsidR="009E397A">
        <w:rPr>
          <w:rFonts w:eastAsia="Times New Roman" w:cstheme="minorHAnsi"/>
        </w:rPr>
        <w:t xml:space="preserve"> by reading through the Facilitator Guide and </w:t>
      </w:r>
      <w:proofErr w:type="gramStart"/>
      <w:r w:rsidR="00A077C9">
        <w:rPr>
          <w:rFonts w:eastAsia="Times New Roman" w:cstheme="minorHAnsi"/>
        </w:rPr>
        <w:t>clicking</w:t>
      </w:r>
      <w:proofErr w:type="gramEnd"/>
      <w:r w:rsidR="00A077C9">
        <w:rPr>
          <w:rFonts w:eastAsia="Times New Roman" w:cstheme="minorHAnsi"/>
        </w:rPr>
        <w:t xml:space="preserve"> through the Interactive Board to familiarize yourself with the animations</w:t>
      </w:r>
      <w:r>
        <w:rPr>
          <w:rFonts w:eastAsia="Times New Roman" w:cstheme="minorHAnsi"/>
        </w:rPr>
        <w:t xml:space="preserve">. </w:t>
      </w:r>
      <w:r w:rsidR="00A077C9">
        <w:rPr>
          <w:rFonts w:eastAsia="Times New Roman" w:cstheme="minorHAnsi"/>
        </w:rPr>
        <w:t xml:space="preserve">All clickable elements will be denoted as a rounded, shaded rectangle and/or a mouse cursor. </w:t>
      </w:r>
    </w:p>
    <w:p w14:paraId="5F18BF91" w14:textId="5379F591" w:rsidR="007528C3" w:rsidRDefault="007528C3" w:rsidP="00B26A46">
      <w:pPr>
        <w:shd w:val="clear" w:color="auto" w:fill="FEFEFE"/>
        <w:spacing w:after="0" w:line="240" w:lineRule="auto"/>
        <w:rPr>
          <w:rFonts w:eastAsia="Times New Roman" w:cstheme="minorHAnsi"/>
          <w:spacing w:val="4"/>
        </w:rPr>
      </w:pPr>
    </w:p>
    <w:p w14:paraId="08CEAEFE" w14:textId="37E2EADA" w:rsidR="007528C3" w:rsidRDefault="007528C3" w:rsidP="00B26A46">
      <w:pPr>
        <w:shd w:val="clear" w:color="auto" w:fill="FEFEFE"/>
        <w:spacing w:after="0" w:line="240" w:lineRule="auto"/>
        <w:rPr>
          <w:rFonts w:eastAsia="Times New Roman" w:cstheme="minorHAnsi"/>
          <w:b/>
          <w:bCs/>
          <w:color w:val="000000" w:themeColor="text1"/>
          <w:spacing w:val="4"/>
        </w:rPr>
      </w:pPr>
      <w:r>
        <w:rPr>
          <w:rFonts w:eastAsia="Times New Roman" w:cstheme="minorHAnsi"/>
          <w:spacing w:val="4"/>
        </w:rPr>
        <w:t>Anticipated time to deliver the talk with and without cases or other features</w:t>
      </w:r>
      <w:r w:rsidRPr="005836C6">
        <w:rPr>
          <w:rFonts w:eastAsia="Times New Roman" w:cstheme="minorHAnsi"/>
          <w:color w:val="000000" w:themeColor="text1"/>
          <w:spacing w:val="4"/>
        </w:rPr>
        <w:t xml:space="preserve">: </w:t>
      </w:r>
      <w:r w:rsidRPr="007528C3">
        <w:rPr>
          <w:rFonts w:eastAsia="Times New Roman" w:cstheme="minorHAnsi"/>
          <w:b/>
          <w:bCs/>
          <w:color w:val="000000" w:themeColor="text1"/>
          <w:spacing w:val="4"/>
        </w:rPr>
        <w:t xml:space="preserve">20-30 minutes without cases, and an additional 5-10 minutes to review two cases. </w:t>
      </w:r>
    </w:p>
    <w:p w14:paraId="175887B6" w14:textId="3A5B14C7" w:rsidR="00D9528E" w:rsidRDefault="00D9528E" w:rsidP="00B26A46">
      <w:pPr>
        <w:shd w:val="clear" w:color="auto" w:fill="FEFEFE"/>
        <w:spacing w:after="0" w:line="240" w:lineRule="auto"/>
        <w:rPr>
          <w:rFonts w:eastAsia="Times New Roman" w:cstheme="minorHAnsi"/>
          <w:b/>
          <w:bCs/>
          <w:color w:val="000000" w:themeColor="text1"/>
          <w:spacing w:val="4"/>
        </w:rPr>
      </w:pPr>
    </w:p>
    <w:p w14:paraId="68FA93E8" w14:textId="77777777" w:rsidR="00D9528E" w:rsidRPr="00D9528E" w:rsidRDefault="00D9528E" w:rsidP="00D9528E">
      <w:pPr>
        <w:shd w:val="clear" w:color="auto" w:fill="FEFEFE"/>
        <w:spacing w:after="0" w:line="240" w:lineRule="auto"/>
        <w:rPr>
          <w:rFonts w:eastAsia="Times New Roman" w:cstheme="minorHAnsi"/>
          <w:spacing w:val="4"/>
        </w:rPr>
      </w:pPr>
      <w:r w:rsidRPr="00D9528E">
        <w:rPr>
          <w:rFonts w:eastAsia="Times New Roman" w:cstheme="minorHAnsi"/>
          <w:spacing w:val="4"/>
        </w:rPr>
        <w:t>The talk can be presented in two ways:</w:t>
      </w:r>
    </w:p>
    <w:p w14:paraId="700917C6" w14:textId="77777777" w:rsidR="00D9528E" w:rsidRPr="00D9528E" w:rsidRDefault="00D9528E" w:rsidP="00D9528E">
      <w:pPr>
        <w:numPr>
          <w:ilvl w:val="0"/>
          <w:numId w:val="17"/>
        </w:numPr>
        <w:spacing w:after="0" w:line="240" w:lineRule="auto"/>
        <w:textAlignment w:val="baseline"/>
        <w:rPr>
          <w:rFonts w:eastAsia="Times New Roman" w:cstheme="minorHAnsi"/>
          <w:spacing w:val="4"/>
        </w:rPr>
      </w:pPr>
      <w:r w:rsidRPr="00D9528E">
        <w:rPr>
          <w:rFonts w:eastAsia="Times New Roman" w:cstheme="minorHAnsi"/>
          <w:spacing w:val="4"/>
        </w:rPr>
        <w:t>Project the “Interactive Board” OR</w:t>
      </w:r>
    </w:p>
    <w:p w14:paraId="5338F0F5" w14:textId="4EF245AD" w:rsidR="00D9528E" w:rsidRDefault="00D9528E" w:rsidP="00D9528E">
      <w:pPr>
        <w:numPr>
          <w:ilvl w:val="0"/>
          <w:numId w:val="17"/>
        </w:numPr>
        <w:spacing w:after="0" w:line="240" w:lineRule="auto"/>
        <w:textAlignment w:val="baseline"/>
        <w:rPr>
          <w:rFonts w:eastAsia="Times New Roman" w:cstheme="minorHAnsi"/>
          <w:spacing w:val="4"/>
        </w:rPr>
      </w:pPr>
      <w:r w:rsidRPr="00D9528E">
        <w:rPr>
          <w:rFonts w:eastAsia="Times New Roman" w:cstheme="minorHAnsi"/>
          <w:spacing w:val="4"/>
        </w:rPr>
        <w:t>Reproduce your own drawing of the presentation on a whiteboard. (Use the Learner worksheet as the board set-up)</w:t>
      </w:r>
    </w:p>
    <w:p w14:paraId="3F67CB19" w14:textId="0BE76257" w:rsidR="00D9528E" w:rsidRDefault="00D9528E" w:rsidP="00D9528E">
      <w:pPr>
        <w:spacing w:after="0" w:line="240" w:lineRule="auto"/>
        <w:textAlignment w:val="baseline"/>
        <w:rPr>
          <w:rFonts w:eastAsia="Times New Roman" w:cstheme="minorHAnsi"/>
          <w:spacing w:val="4"/>
        </w:rPr>
      </w:pPr>
    </w:p>
    <w:p w14:paraId="46B4586E" w14:textId="67161DCF" w:rsidR="00D9528E" w:rsidRPr="00D9528E" w:rsidRDefault="00D9528E" w:rsidP="00D9528E">
      <w:pPr>
        <w:shd w:val="clear" w:color="auto" w:fill="FEFEFE"/>
        <w:spacing w:after="0" w:line="240" w:lineRule="auto"/>
        <w:rPr>
          <w:rFonts w:eastAsia="Times New Roman" w:cstheme="minorHAnsi"/>
          <w:spacing w:val="4"/>
        </w:rPr>
      </w:pPr>
      <w:r>
        <w:rPr>
          <w:rFonts w:eastAsia="Times New Roman" w:cstheme="minorHAnsi"/>
          <w:spacing w:val="4"/>
        </w:rPr>
        <w:t>With either method p</w:t>
      </w:r>
      <w:r w:rsidRPr="00BE73DA">
        <w:rPr>
          <w:rFonts w:eastAsia="Times New Roman" w:cstheme="minorHAnsi"/>
          <w:spacing w:val="4"/>
        </w:rPr>
        <w:t>rint out copies of the Learner’s Handout so they may follow along during the presentation and take notes. Begin with reviewing the objectives for the session.</w:t>
      </w:r>
    </w:p>
    <w:p w14:paraId="3F266336" w14:textId="77777777" w:rsidR="001E103B" w:rsidRPr="00D9528E" w:rsidRDefault="001E103B" w:rsidP="00B26A46">
      <w:pPr>
        <w:shd w:val="clear" w:color="auto" w:fill="FEFEFE"/>
        <w:spacing w:after="0" w:line="240" w:lineRule="auto"/>
        <w:ind w:left="720"/>
        <w:rPr>
          <w:rFonts w:eastAsia="Times New Roman" w:cstheme="minorHAnsi"/>
          <w:spacing w:val="4"/>
          <w:u w:val="single"/>
        </w:rPr>
      </w:pPr>
    </w:p>
    <w:p w14:paraId="1BA0924E" w14:textId="44BC76DB" w:rsidR="001E103B" w:rsidRPr="0036526D" w:rsidRDefault="001E103B" w:rsidP="00B26A46">
      <w:pPr>
        <w:spacing w:after="0"/>
      </w:pPr>
      <w:r w:rsidRPr="00B26A46">
        <w:rPr>
          <w:rFonts w:eastAsia="Times New Roman" w:cstheme="minorHAnsi"/>
          <w:b/>
          <w:bCs/>
          <w:spacing w:val="4"/>
          <w:u w:val="single"/>
        </w:rPr>
        <w:t>Objective 1</w:t>
      </w:r>
      <w:r w:rsidRPr="00000261">
        <w:rPr>
          <w:rFonts w:eastAsia="Times New Roman" w:cstheme="minorHAnsi"/>
          <w:b/>
          <w:bCs/>
          <w:spacing w:val="4"/>
        </w:rPr>
        <w:t xml:space="preserve">: Define abnormal uterine bleeding. </w:t>
      </w:r>
      <w:r w:rsidR="00FA6913">
        <w:rPr>
          <w:rFonts w:eastAsia="Times New Roman" w:cstheme="minorHAnsi"/>
          <w:b/>
          <w:bCs/>
          <w:spacing w:val="4"/>
        </w:rPr>
        <w:t>(</w:t>
      </w:r>
      <w:r w:rsidR="00FA6913" w:rsidRPr="00470B54">
        <w:rPr>
          <w:rFonts w:eastAsia="Times New Roman" w:cstheme="minorHAnsi"/>
          <w:b/>
          <w:bCs/>
          <w:i/>
          <w:iCs/>
          <w:spacing w:val="4"/>
        </w:rPr>
        <w:t>What is AUB?</w:t>
      </w:r>
      <w:r w:rsidR="00FA6913">
        <w:rPr>
          <w:rFonts w:eastAsia="Times New Roman" w:cstheme="minorHAnsi"/>
          <w:b/>
          <w:bCs/>
          <w:spacing w:val="4"/>
        </w:rPr>
        <w:t>)</w:t>
      </w:r>
      <w:r w:rsidR="00271495">
        <w:rPr>
          <w:rFonts w:eastAsia="Times New Roman" w:cstheme="minorHAnsi"/>
          <w:spacing w:val="4"/>
        </w:rPr>
        <w:br/>
      </w:r>
      <w:r w:rsidRPr="0036526D">
        <w:t>Ask your audience what bleeding patterns they would consider when taking a history on someone presenting with abnormal uterine bleeding</w:t>
      </w:r>
      <w:r w:rsidR="009F2961">
        <w:t xml:space="preserve"> (AUB)</w:t>
      </w:r>
      <w:r w:rsidRPr="0036526D">
        <w:t>.</w:t>
      </w:r>
      <w:r>
        <w:rPr>
          <w:i/>
          <w:iCs/>
        </w:rPr>
        <w:t xml:space="preserve"> </w:t>
      </w:r>
      <w:r w:rsidR="00A077C9" w:rsidRPr="0036526D">
        <w:rPr>
          <w:i/>
          <w:iCs/>
        </w:rPr>
        <w:t xml:space="preserve">Click on each of the buttons to reveal additional information. </w:t>
      </w:r>
      <w:r w:rsidR="00D27540">
        <w:t xml:space="preserve">There are 4 parameters we use to define normal bleeding patterns. Any variation outside of these norms is considered </w:t>
      </w:r>
      <w:r w:rsidR="00D27540" w:rsidRPr="00DD78BA">
        <w:t>abnormal.</w:t>
      </w:r>
    </w:p>
    <w:p w14:paraId="7A197BAC" w14:textId="77777777" w:rsidR="001E103B" w:rsidRDefault="001E103B" w:rsidP="00B26A46">
      <w:pPr>
        <w:spacing w:after="0"/>
      </w:pPr>
      <w:r>
        <w:t xml:space="preserve">The 4 characteristics are the following: </w:t>
      </w:r>
    </w:p>
    <w:p w14:paraId="28F0DB09" w14:textId="4CB356CB" w:rsidR="001E103B" w:rsidRDefault="001E103B" w:rsidP="00B26A46">
      <w:pPr>
        <w:pStyle w:val="ListParagraph"/>
        <w:numPr>
          <w:ilvl w:val="0"/>
          <w:numId w:val="4"/>
        </w:numPr>
        <w:spacing w:after="0" w:line="240" w:lineRule="auto"/>
      </w:pPr>
      <w:r w:rsidRPr="00F57F44">
        <w:rPr>
          <w:u w:val="single"/>
        </w:rPr>
        <w:t>Duration</w:t>
      </w:r>
      <w:r w:rsidR="00D27540" w:rsidRPr="0036526D">
        <w:t xml:space="preserve"> - </w:t>
      </w:r>
      <w:r>
        <w:t xml:space="preserve">Normal menstrual periods should be less than 8 days in length. </w:t>
      </w:r>
    </w:p>
    <w:p w14:paraId="3B0FB60C" w14:textId="77777777" w:rsidR="001E103B" w:rsidRPr="00F57F44" w:rsidRDefault="001E103B" w:rsidP="00C6382A">
      <w:pPr>
        <w:pStyle w:val="ListParagraph"/>
        <w:numPr>
          <w:ilvl w:val="0"/>
          <w:numId w:val="4"/>
        </w:numPr>
        <w:spacing w:after="0" w:line="240" w:lineRule="auto"/>
        <w:rPr>
          <w:u w:val="single"/>
        </w:rPr>
      </w:pPr>
      <w:r w:rsidRPr="00F57F44">
        <w:rPr>
          <w:u w:val="single"/>
        </w:rPr>
        <w:t>Frequency</w:t>
      </w:r>
    </w:p>
    <w:p w14:paraId="4D2B489F" w14:textId="4B847815" w:rsidR="00D27540" w:rsidRDefault="001E103B">
      <w:pPr>
        <w:pStyle w:val="ListParagraph"/>
        <w:numPr>
          <w:ilvl w:val="0"/>
          <w:numId w:val="12"/>
        </w:numPr>
        <w:spacing w:after="0" w:line="240" w:lineRule="auto"/>
        <w:ind w:hanging="180"/>
      </w:pPr>
      <w:r>
        <w:t>Normal frequency is menstrual bleeding every 24-38 days (other sources say 21-35 days).</w:t>
      </w:r>
    </w:p>
    <w:p w14:paraId="5C1E0876" w14:textId="710E4421" w:rsidR="001E103B" w:rsidRDefault="001E103B">
      <w:pPr>
        <w:pStyle w:val="ListParagraph"/>
        <w:numPr>
          <w:ilvl w:val="0"/>
          <w:numId w:val="12"/>
        </w:numPr>
        <w:spacing w:after="0" w:line="240" w:lineRule="auto"/>
        <w:ind w:hanging="180"/>
      </w:pPr>
      <w:r>
        <w:t xml:space="preserve">Abnormalities include frequent, infrequent, or absent (amenorrhea). </w:t>
      </w:r>
    </w:p>
    <w:p w14:paraId="07377581" w14:textId="29BEEF27" w:rsidR="001E103B" w:rsidRPr="00F57F44" w:rsidRDefault="001E103B">
      <w:pPr>
        <w:pStyle w:val="ListParagraph"/>
        <w:numPr>
          <w:ilvl w:val="0"/>
          <w:numId w:val="4"/>
        </w:numPr>
        <w:spacing w:after="0" w:line="240" w:lineRule="auto"/>
        <w:rPr>
          <w:u w:val="single"/>
        </w:rPr>
      </w:pPr>
      <w:r w:rsidRPr="00F57F44">
        <w:rPr>
          <w:u w:val="single"/>
        </w:rPr>
        <w:t>Regularity</w:t>
      </w:r>
      <w:r w:rsidR="00D9528E">
        <w:rPr>
          <w:u w:val="single"/>
        </w:rPr>
        <w:t xml:space="preserve"> (or Pattern)</w:t>
      </w:r>
    </w:p>
    <w:p w14:paraId="60CCC08C" w14:textId="7FEC4F8C" w:rsidR="00E927C1" w:rsidRDefault="001E103B" w:rsidP="00E927C1">
      <w:pPr>
        <w:pStyle w:val="ListParagraph"/>
        <w:numPr>
          <w:ilvl w:val="0"/>
          <w:numId w:val="12"/>
        </w:numPr>
        <w:spacing w:after="0" w:line="240" w:lineRule="auto"/>
        <w:ind w:hanging="180"/>
      </w:pPr>
      <w:r>
        <w:t xml:space="preserve">Variation in cycle length depends on age. </w:t>
      </w:r>
      <w:r w:rsidR="00E927C1">
        <w:t xml:space="preserve">Cycle length is the number of days from the start of one period (day 1) until the start of the next period. </w:t>
      </w:r>
    </w:p>
    <w:p w14:paraId="203724FE" w14:textId="4B3859D6" w:rsidR="001E103B" w:rsidRDefault="001E103B" w:rsidP="00371668">
      <w:pPr>
        <w:pStyle w:val="ListParagraph"/>
        <w:numPr>
          <w:ilvl w:val="0"/>
          <w:numId w:val="12"/>
        </w:numPr>
        <w:spacing w:after="0" w:line="240" w:lineRule="auto"/>
        <w:ind w:hanging="180"/>
      </w:pPr>
      <w:r>
        <w:t>Generally,</w:t>
      </w:r>
      <w:r w:rsidR="009310D3">
        <w:t xml:space="preserve"> the difference in cycle length</w:t>
      </w:r>
      <w:r>
        <w:t xml:space="preserve"> should be </w:t>
      </w:r>
      <w:r w:rsidR="00E927C1">
        <w:rPr>
          <w:rFonts w:cstheme="minorHAnsi"/>
        </w:rPr>
        <w:t>≤</w:t>
      </w:r>
      <w:r>
        <w:t xml:space="preserve"> 9 days in women under age 25 and older than age 42, and </w:t>
      </w:r>
      <w:r w:rsidR="00E927C1">
        <w:rPr>
          <w:rFonts w:cstheme="minorHAnsi"/>
        </w:rPr>
        <w:t>≤</w:t>
      </w:r>
      <w:r>
        <w:t xml:space="preserve"> 7 days for women between age 26 and 41. </w:t>
      </w:r>
      <w:r w:rsidR="009310D3">
        <w:t xml:space="preserve">Women should not have significant spotting between periods. </w:t>
      </w:r>
    </w:p>
    <w:p w14:paraId="13CAEB31" w14:textId="05FEBE90" w:rsidR="00D515EE" w:rsidRDefault="001E103B">
      <w:pPr>
        <w:pStyle w:val="ListParagraph"/>
        <w:numPr>
          <w:ilvl w:val="0"/>
          <w:numId w:val="4"/>
        </w:numPr>
        <w:spacing w:after="0" w:line="240" w:lineRule="auto"/>
      </w:pPr>
      <w:r w:rsidRPr="00F57F44">
        <w:rPr>
          <w:u w:val="single"/>
        </w:rPr>
        <w:t>Volume</w:t>
      </w:r>
    </w:p>
    <w:p w14:paraId="39A66604" w14:textId="47099906" w:rsidR="00962733" w:rsidRDefault="00D515EE">
      <w:pPr>
        <w:pStyle w:val="ListParagraph"/>
        <w:numPr>
          <w:ilvl w:val="0"/>
          <w:numId w:val="12"/>
        </w:numPr>
        <w:spacing w:after="0" w:line="240" w:lineRule="auto"/>
        <w:ind w:hanging="180"/>
      </w:pPr>
      <w:r>
        <w:t>Broadly speaking, it is a s</w:t>
      </w:r>
      <w:r w:rsidR="001E103B">
        <w:t xml:space="preserve">ubjective value – menses should not interfere with patient’s life, job, emotional well-being, etc. </w:t>
      </w:r>
    </w:p>
    <w:p w14:paraId="5CBAD62F" w14:textId="0D287DDD" w:rsidR="00D515EE" w:rsidRDefault="00D515EE">
      <w:pPr>
        <w:pStyle w:val="ListParagraph"/>
        <w:numPr>
          <w:ilvl w:val="0"/>
          <w:numId w:val="12"/>
        </w:numPr>
        <w:spacing w:after="0" w:line="240" w:lineRule="auto"/>
        <w:ind w:hanging="180"/>
      </w:pPr>
      <w:r>
        <w:t xml:space="preserve">Other more objective signs that menstrual bleeding is abnormally heavy include needing to change a super tampon/pad every two </w:t>
      </w:r>
      <w:r w:rsidR="0036526D">
        <w:t>hours or</w:t>
      </w:r>
      <w:r>
        <w:t xml:space="preserve"> needing to change a pad/tampon at night. </w:t>
      </w:r>
      <w:r w:rsidR="0036526D">
        <w:t xml:space="preserve">Symptoms such as presyncope, fatigue, and dizziness are also considered objective signs of heavy menstruation. </w:t>
      </w:r>
    </w:p>
    <w:p w14:paraId="51928EF8" w14:textId="77777777" w:rsidR="005836C6" w:rsidRDefault="005836C6">
      <w:pPr>
        <w:spacing w:after="0" w:line="240" w:lineRule="auto"/>
      </w:pPr>
    </w:p>
    <w:p w14:paraId="1BDEA583" w14:textId="523BE69D" w:rsidR="00D01A86" w:rsidRPr="0036526D" w:rsidRDefault="001E103B">
      <w:pPr>
        <w:spacing w:after="0" w:line="240" w:lineRule="auto"/>
        <w:outlineLvl w:val="1"/>
        <w:rPr>
          <w:rFonts w:eastAsia="Times New Roman" w:cstheme="minorHAnsi"/>
          <w:b/>
          <w:bCs/>
          <w:spacing w:val="4"/>
        </w:rPr>
      </w:pPr>
      <w:r>
        <w:t>It is important to ask about all four of these features when taking a menstrual history.</w:t>
      </w:r>
    </w:p>
    <w:p w14:paraId="10E336B0" w14:textId="77777777" w:rsidR="00180A40" w:rsidRDefault="00180A40" w:rsidP="00180A40">
      <w:pPr>
        <w:shd w:val="clear" w:color="auto" w:fill="FEFEFE"/>
        <w:spacing w:after="0" w:line="240" w:lineRule="auto"/>
        <w:rPr>
          <w:rFonts w:eastAsia="Times New Roman" w:cstheme="minorHAnsi"/>
          <w:b/>
          <w:bCs/>
          <w:spacing w:val="4"/>
          <w:u w:val="single"/>
        </w:rPr>
      </w:pPr>
    </w:p>
    <w:p w14:paraId="576648F0" w14:textId="14E0D8A0" w:rsidR="00271495" w:rsidRDefault="001E103B" w:rsidP="00B26A46">
      <w:pPr>
        <w:shd w:val="clear" w:color="auto" w:fill="FEFEFE"/>
        <w:spacing w:after="0" w:line="240" w:lineRule="auto"/>
        <w:rPr>
          <w:rFonts w:eastAsia="Times New Roman" w:cstheme="minorHAnsi"/>
          <w:b/>
          <w:bCs/>
        </w:rPr>
      </w:pPr>
      <w:r w:rsidRPr="00B26A46">
        <w:rPr>
          <w:rFonts w:eastAsia="Times New Roman" w:cstheme="minorHAnsi"/>
          <w:b/>
          <w:bCs/>
          <w:spacing w:val="4"/>
          <w:u w:val="single"/>
        </w:rPr>
        <w:t>Objective 2</w:t>
      </w:r>
      <w:r w:rsidRPr="0036526D">
        <w:rPr>
          <w:rFonts w:eastAsia="Times New Roman" w:cstheme="minorHAnsi"/>
          <w:b/>
          <w:bCs/>
          <w:spacing w:val="4"/>
        </w:rPr>
        <w:t>: </w:t>
      </w:r>
      <w:r w:rsidRPr="0036526D">
        <w:rPr>
          <w:rFonts w:eastAsia="Times New Roman" w:cstheme="minorHAnsi"/>
          <w:b/>
          <w:bCs/>
        </w:rPr>
        <w:t xml:space="preserve">Identify common causes of abnormal uterine bleeding using the PALM-COEIN mnemonic. </w:t>
      </w:r>
      <w:r w:rsidR="00FA6913">
        <w:rPr>
          <w:rFonts w:eastAsia="Times New Roman" w:cstheme="minorHAnsi"/>
          <w:b/>
          <w:bCs/>
        </w:rPr>
        <w:t>(</w:t>
      </w:r>
      <w:r w:rsidR="00FA6913">
        <w:rPr>
          <w:rFonts w:eastAsia="Times New Roman" w:cstheme="minorHAnsi"/>
          <w:b/>
          <w:bCs/>
          <w:i/>
          <w:iCs/>
        </w:rPr>
        <w:t>Causes</w:t>
      </w:r>
      <w:r w:rsidR="00FA6913">
        <w:rPr>
          <w:rFonts w:eastAsia="Times New Roman" w:cstheme="minorHAnsi"/>
          <w:b/>
          <w:bCs/>
        </w:rPr>
        <w:t>)</w:t>
      </w:r>
    </w:p>
    <w:p w14:paraId="118C13DD" w14:textId="1E1FA98F" w:rsidR="00180A40" w:rsidRDefault="009F2961" w:rsidP="00180A40">
      <w:pPr>
        <w:spacing w:after="0" w:line="240" w:lineRule="auto"/>
        <w:rPr>
          <w:u w:val="single"/>
        </w:rPr>
      </w:pPr>
      <w:r>
        <w:rPr>
          <w:rFonts w:eastAsia="Times New Roman" w:cstheme="minorHAnsi"/>
          <w:spacing w:val="4"/>
        </w:rPr>
        <w:t xml:space="preserve">The first step in the evaluation of abnormal uterine bleeding is ruling out pregnancy. </w:t>
      </w:r>
      <w:r w:rsidR="00F549A3">
        <w:rPr>
          <w:rFonts w:eastAsia="Times New Roman" w:cstheme="minorHAnsi"/>
          <w:spacing w:val="4"/>
        </w:rPr>
        <w:t xml:space="preserve"> </w:t>
      </w:r>
      <w:r w:rsidR="00F549A3" w:rsidRPr="0036526D">
        <w:rPr>
          <w:rFonts w:eastAsia="Times New Roman" w:cstheme="minorHAnsi"/>
          <w:i/>
          <w:iCs/>
          <w:spacing w:val="4"/>
        </w:rPr>
        <w:t>Click on the “pregnancy” button.</w:t>
      </w:r>
      <w:r w:rsidR="00F549A3">
        <w:rPr>
          <w:rFonts w:eastAsia="Times New Roman" w:cstheme="minorHAnsi"/>
          <w:spacing w:val="4"/>
        </w:rPr>
        <w:t xml:space="preserve"> </w:t>
      </w:r>
      <w:r>
        <w:rPr>
          <w:rFonts w:eastAsia="Times New Roman" w:cstheme="minorHAnsi"/>
          <w:spacing w:val="4"/>
        </w:rPr>
        <w:t>If pregnancy is ruled out, the</w:t>
      </w:r>
      <w:r w:rsidR="00E32540" w:rsidRPr="00E32540">
        <w:rPr>
          <w:rFonts w:eastAsia="Times New Roman" w:cstheme="minorHAnsi"/>
          <w:spacing w:val="4"/>
        </w:rPr>
        <w:t xml:space="preserve"> “PALM-COEIN” mnemonic is commonly used to develop a differential for the causes of </w:t>
      </w:r>
      <w:r>
        <w:rPr>
          <w:rFonts w:eastAsia="Times New Roman" w:cstheme="minorHAnsi"/>
          <w:spacing w:val="4"/>
        </w:rPr>
        <w:t>AUB</w:t>
      </w:r>
      <w:r w:rsidR="00E32540" w:rsidRPr="00E32540">
        <w:rPr>
          <w:rFonts w:eastAsia="Times New Roman" w:cstheme="minorHAnsi"/>
          <w:spacing w:val="4"/>
        </w:rPr>
        <w:t xml:space="preserve">. It is divided into structural and non-structural etiologies. </w:t>
      </w:r>
      <w:r w:rsidR="00E32540">
        <w:rPr>
          <w:rFonts w:eastAsia="Times New Roman" w:cstheme="minorHAnsi"/>
          <w:i/>
          <w:iCs/>
          <w:spacing w:val="4"/>
        </w:rPr>
        <w:t>Go through the mnemonic by letter and have participants guess different causes.</w:t>
      </w:r>
      <w:r w:rsidR="00F549A3">
        <w:rPr>
          <w:rFonts w:eastAsia="Times New Roman" w:cstheme="minorHAnsi"/>
          <w:i/>
          <w:iCs/>
          <w:spacing w:val="4"/>
        </w:rPr>
        <w:t xml:space="preserve"> Click on the “PALM” and “COEIN” buttons to reveal each letter and associated cause. </w:t>
      </w:r>
    </w:p>
    <w:p w14:paraId="7F50CE11" w14:textId="77B5B921" w:rsidR="005836C6" w:rsidRPr="00B26A46" w:rsidRDefault="005836C6" w:rsidP="00B26A46">
      <w:pPr>
        <w:pStyle w:val="ListParagraph"/>
        <w:numPr>
          <w:ilvl w:val="0"/>
          <w:numId w:val="15"/>
        </w:numPr>
        <w:spacing w:after="0" w:line="240" w:lineRule="auto"/>
        <w:rPr>
          <w:u w:val="single"/>
        </w:rPr>
      </w:pPr>
      <w:r w:rsidRPr="00B26A46">
        <w:rPr>
          <w:u w:val="single"/>
        </w:rPr>
        <w:t>Structural:</w:t>
      </w:r>
    </w:p>
    <w:p w14:paraId="59FE6586" w14:textId="6161ACEA" w:rsidR="005836C6" w:rsidRDefault="005836C6" w:rsidP="00B26A46">
      <w:pPr>
        <w:pStyle w:val="ListParagraph"/>
        <w:numPr>
          <w:ilvl w:val="1"/>
          <w:numId w:val="15"/>
        </w:numPr>
        <w:spacing w:after="0" w:line="240" w:lineRule="auto"/>
      </w:pPr>
      <w:r>
        <w:lastRenderedPageBreak/>
        <w:t xml:space="preserve">P – </w:t>
      </w:r>
      <w:r w:rsidRPr="00B26A46">
        <w:rPr>
          <w:b/>
          <w:bCs/>
        </w:rPr>
        <w:t>Polyp</w:t>
      </w:r>
      <w:r w:rsidR="00161D1F">
        <w:t xml:space="preserve"> – usually endometrial, can be cervical</w:t>
      </w:r>
    </w:p>
    <w:p w14:paraId="0F89AF8F" w14:textId="77777777" w:rsidR="005836C6" w:rsidRDefault="005836C6" w:rsidP="00B26A46">
      <w:pPr>
        <w:pStyle w:val="ListParagraph"/>
        <w:numPr>
          <w:ilvl w:val="1"/>
          <w:numId w:val="15"/>
        </w:numPr>
        <w:spacing w:after="0" w:line="240" w:lineRule="auto"/>
      </w:pPr>
      <w:r>
        <w:t xml:space="preserve">A – </w:t>
      </w:r>
      <w:r w:rsidRPr="00B26A46">
        <w:rPr>
          <w:b/>
          <w:bCs/>
        </w:rPr>
        <w:t>Adenomyosis</w:t>
      </w:r>
      <w:r>
        <w:t xml:space="preserve"> – growth of endometrium into the myometrium</w:t>
      </w:r>
    </w:p>
    <w:p w14:paraId="3020A750" w14:textId="77777777" w:rsidR="005836C6" w:rsidRDefault="005836C6" w:rsidP="00B26A46">
      <w:pPr>
        <w:pStyle w:val="ListParagraph"/>
        <w:numPr>
          <w:ilvl w:val="1"/>
          <w:numId w:val="15"/>
        </w:numPr>
        <w:spacing w:after="0" w:line="240" w:lineRule="auto"/>
      </w:pPr>
      <w:r>
        <w:t xml:space="preserve">L – </w:t>
      </w:r>
      <w:r w:rsidRPr="00B26A46">
        <w:rPr>
          <w:b/>
          <w:bCs/>
        </w:rPr>
        <w:t>Leiomyoma</w:t>
      </w:r>
      <w:r>
        <w:t xml:space="preserve"> – aka fibroid</w:t>
      </w:r>
    </w:p>
    <w:p w14:paraId="31544CEC" w14:textId="7DF4757E" w:rsidR="0036526D" w:rsidRPr="00D9528E" w:rsidRDefault="005836C6" w:rsidP="00B26A46">
      <w:pPr>
        <w:pStyle w:val="ListParagraph"/>
        <w:numPr>
          <w:ilvl w:val="1"/>
          <w:numId w:val="15"/>
        </w:numPr>
        <w:spacing w:after="0" w:line="240" w:lineRule="auto"/>
      </w:pPr>
      <w:r>
        <w:t xml:space="preserve">M – </w:t>
      </w:r>
      <w:r w:rsidRPr="00B26A46">
        <w:rPr>
          <w:b/>
          <w:bCs/>
        </w:rPr>
        <w:t>Malignancy/Hyperplasia</w:t>
      </w:r>
      <w:r>
        <w:t xml:space="preserve"> – usually endometrial in the appropriate demographic, but cervical, vaginal, or vulvar lesions can also bleed. </w:t>
      </w:r>
      <w:r w:rsidR="0036526D">
        <w:t xml:space="preserve">Patients with risk factors for endometrial hyperplasia </w:t>
      </w:r>
      <w:r w:rsidR="0036526D" w:rsidRPr="00470B54">
        <w:t>include post-menopausal patients, patients with chronic anovulation, unopposed estrogen exposure, or tobacco use.</w:t>
      </w:r>
    </w:p>
    <w:p w14:paraId="64721665" w14:textId="1715907A" w:rsidR="005836C6" w:rsidRPr="00B26A46" w:rsidRDefault="005836C6" w:rsidP="00B26A46">
      <w:pPr>
        <w:pStyle w:val="ListParagraph"/>
        <w:numPr>
          <w:ilvl w:val="0"/>
          <w:numId w:val="15"/>
        </w:numPr>
        <w:spacing w:after="0" w:line="240" w:lineRule="auto"/>
        <w:rPr>
          <w:i/>
          <w:iCs/>
        </w:rPr>
      </w:pPr>
      <w:r w:rsidRPr="00B26A46">
        <w:rPr>
          <w:u w:val="single"/>
        </w:rPr>
        <w:t xml:space="preserve">Non-Structural: </w:t>
      </w:r>
      <w:r w:rsidR="00006CEB" w:rsidRPr="00B26A46">
        <w:rPr>
          <w:i/>
          <w:iCs/>
        </w:rPr>
        <w:t xml:space="preserve"> </w:t>
      </w:r>
    </w:p>
    <w:p w14:paraId="07D1FCDB" w14:textId="77777777" w:rsidR="005836C6" w:rsidRDefault="005836C6" w:rsidP="00B26A46">
      <w:pPr>
        <w:pStyle w:val="ListParagraph"/>
        <w:numPr>
          <w:ilvl w:val="1"/>
          <w:numId w:val="15"/>
        </w:numPr>
        <w:spacing w:after="0" w:line="240" w:lineRule="auto"/>
      </w:pPr>
      <w:r>
        <w:t xml:space="preserve">C – </w:t>
      </w:r>
      <w:r w:rsidRPr="00B26A46">
        <w:rPr>
          <w:b/>
          <w:bCs/>
        </w:rPr>
        <w:t xml:space="preserve">Coagulopathy </w:t>
      </w:r>
      <w:r>
        <w:t xml:space="preserve">– i.e., hemophilia, von Willebrand disease, thrombocytopenia, other platelet dysfunction (liver disease, kidney failure) </w:t>
      </w:r>
    </w:p>
    <w:p w14:paraId="1DDE2112" w14:textId="36F7B7E9" w:rsidR="005836C6" w:rsidRDefault="00D9528E" w:rsidP="00B26A46">
      <w:pPr>
        <w:pStyle w:val="ListParagraph"/>
        <w:numPr>
          <w:ilvl w:val="1"/>
          <w:numId w:val="15"/>
        </w:numPr>
        <w:spacing w:after="0" w:line="240" w:lineRule="auto"/>
      </w:pPr>
      <w:r>
        <w:t xml:space="preserve">O </w:t>
      </w:r>
      <w:r w:rsidR="005836C6">
        <w:t xml:space="preserve">– </w:t>
      </w:r>
      <w:r w:rsidR="005836C6" w:rsidRPr="00B26A46">
        <w:rPr>
          <w:b/>
          <w:bCs/>
        </w:rPr>
        <w:t>Ovulatory dysfunction</w:t>
      </w:r>
      <w:r w:rsidR="005836C6">
        <w:t xml:space="preserve"> – includes endocrine abnormalities (hyperprolactinemia, prolactinomas, thyroid dysfunction), pregnancy and lactation, premature ovarian failure, or disorders of androgen excess (PCOS, hormone secreting tumor, Cushing’s). </w:t>
      </w:r>
    </w:p>
    <w:p w14:paraId="6DA77C43" w14:textId="4EB0B40A" w:rsidR="005836C6" w:rsidRDefault="005836C6" w:rsidP="00B26A46">
      <w:pPr>
        <w:pStyle w:val="ListParagraph"/>
        <w:numPr>
          <w:ilvl w:val="1"/>
          <w:numId w:val="15"/>
        </w:numPr>
        <w:spacing w:after="0" w:line="240" w:lineRule="auto"/>
      </w:pPr>
      <w:r>
        <w:t xml:space="preserve">E – </w:t>
      </w:r>
      <w:r w:rsidRPr="00B26A46">
        <w:rPr>
          <w:b/>
          <w:bCs/>
        </w:rPr>
        <w:t xml:space="preserve">Endometrial </w:t>
      </w:r>
      <w:r>
        <w:t xml:space="preserve">– endometritis, infection (STIs), or inflammation </w:t>
      </w:r>
    </w:p>
    <w:p w14:paraId="1D8E8566" w14:textId="77777777" w:rsidR="004E4381" w:rsidRPr="004E4381" w:rsidRDefault="005836C6" w:rsidP="00B26A46">
      <w:pPr>
        <w:pStyle w:val="ListParagraph"/>
        <w:numPr>
          <w:ilvl w:val="1"/>
          <w:numId w:val="15"/>
        </w:numPr>
        <w:spacing w:after="0" w:line="240" w:lineRule="auto"/>
        <w:rPr>
          <w:b/>
          <w:bCs/>
        </w:rPr>
      </w:pPr>
      <w:r>
        <w:t xml:space="preserve">I – </w:t>
      </w:r>
      <w:r w:rsidRPr="00F57F44">
        <w:rPr>
          <w:b/>
          <w:bCs/>
        </w:rPr>
        <w:t xml:space="preserve">Iatrogenic </w:t>
      </w:r>
      <w:r>
        <w:t xml:space="preserve">– Hormonal birth control, IUDs, implants, post-procedure, medications (including anticoagulants), etc. </w:t>
      </w:r>
    </w:p>
    <w:p w14:paraId="102AEBAD" w14:textId="7BCDB465" w:rsidR="00180A40" w:rsidRPr="00B26A46" w:rsidRDefault="005836C6" w:rsidP="00B26A46">
      <w:pPr>
        <w:pStyle w:val="ListParagraph"/>
        <w:numPr>
          <w:ilvl w:val="1"/>
          <w:numId w:val="15"/>
        </w:numPr>
        <w:spacing w:after="0" w:line="240" w:lineRule="auto"/>
        <w:rPr>
          <w:b/>
          <w:bCs/>
        </w:rPr>
      </w:pPr>
      <w:r>
        <w:t xml:space="preserve">N – </w:t>
      </w:r>
      <w:r w:rsidRPr="00B26A46">
        <w:rPr>
          <w:b/>
          <w:bCs/>
        </w:rPr>
        <w:t xml:space="preserve">Not yet classified </w:t>
      </w:r>
    </w:p>
    <w:p w14:paraId="2AD3A800" w14:textId="77777777" w:rsidR="00180A40" w:rsidRPr="00B26A46" w:rsidRDefault="00180A40" w:rsidP="00B26A46">
      <w:pPr>
        <w:spacing w:after="0" w:line="240" w:lineRule="auto"/>
        <w:rPr>
          <w:b/>
          <w:bCs/>
        </w:rPr>
      </w:pPr>
    </w:p>
    <w:p w14:paraId="0BE5E56F" w14:textId="107FC165" w:rsidR="00271495" w:rsidRDefault="001E103B" w:rsidP="00B26A46">
      <w:pPr>
        <w:spacing w:after="0" w:line="240" w:lineRule="auto"/>
        <w:outlineLvl w:val="1"/>
        <w:rPr>
          <w:rFonts w:eastAsia="Times New Roman" w:cstheme="minorHAnsi"/>
          <w:b/>
          <w:bCs/>
          <w:i/>
          <w:iCs/>
        </w:rPr>
      </w:pPr>
      <w:r w:rsidRPr="00B26A46">
        <w:rPr>
          <w:rFonts w:eastAsia="Times New Roman" w:cstheme="minorHAnsi"/>
          <w:b/>
          <w:bCs/>
          <w:spacing w:val="4"/>
          <w:u w:val="single"/>
        </w:rPr>
        <w:t>Objective 3</w:t>
      </w:r>
      <w:r w:rsidRPr="00470B54">
        <w:rPr>
          <w:rFonts w:eastAsia="Times New Roman" w:cstheme="minorHAnsi"/>
          <w:b/>
          <w:bCs/>
          <w:spacing w:val="4"/>
        </w:rPr>
        <w:t>: </w:t>
      </w:r>
      <w:r w:rsidRPr="00470B54">
        <w:rPr>
          <w:rFonts w:eastAsia="Times New Roman" w:cstheme="minorHAnsi"/>
          <w:b/>
          <w:bCs/>
        </w:rPr>
        <w:t xml:space="preserve">Determine basic lab and imaging evaluation of abnormal uterine bleeding. </w:t>
      </w:r>
      <w:r w:rsidR="00CC4EF6">
        <w:rPr>
          <w:rFonts w:eastAsia="Times New Roman" w:cstheme="minorHAnsi"/>
          <w:b/>
          <w:bCs/>
        </w:rPr>
        <w:t>(</w:t>
      </w:r>
      <w:r w:rsidR="00CC4EF6">
        <w:rPr>
          <w:rFonts w:eastAsia="Times New Roman" w:cstheme="minorHAnsi"/>
          <w:b/>
          <w:bCs/>
          <w:i/>
          <w:iCs/>
        </w:rPr>
        <w:t>Work-up)</w:t>
      </w:r>
    </w:p>
    <w:p w14:paraId="75985B10" w14:textId="0D341E44" w:rsidR="00470B54" w:rsidRDefault="00271495" w:rsidP="00B26A46">
      <w:pPr>
        <w:pStyle w:val="ListParagraph"/>
        <w:numPr>
          <w:ilvl w:val="0"/>
          <w:numId w:val="16"/>
        </w:numPr>
        <w:spacing w:after="0" w:line="240" w:lineRule="auto"/>
        <w:outlineLvl w:val="1"/>
      </w:pPr>
      <w:r w:rsidRPr="00B26A46">
        <w:rPr>
          <w:u w:val="single"/>
        </w:rPr>
        <w:t>Basic Work-up</w:t>
      </w:r>
      <w:r>
        <w:t xml:space="preserve">: </w:t>
      </w:r>
      <w:r w:rsidRPr="00B26A46">
        <w:rPr>
          <w:i/>
          <w:iCs/>
        </w:rPr>
        <w:t xml:space="preserve">Click on “Basic Work-up” button on the navigation bar. </w:t>
      </w:r>
      <w:r w:rsidR="00CC4EF6">
        <w:t xml:space="preserve">Ask you learners what tests every patient with AUB should receive. </w:t>
      </w:r>
      <w:r w:rsidR="00CC4EF6" w:rsidRPr="00B26A46">
        <w:rPr>
          <w:i/>
          <w:iCs/>
        </w:rPr>
        <w:t>Click on “Exam” and “Labs” to reveal the answers.</w:t>
      </w:r>
      <w:r w:rsidR="00CC4EF6">
        <w:t xml:space="preserve"> </w:t>
      </w:r>
    </w:p>
    <w:p w14:paraId="55509508" w14:textId="1850FA20" w:rsidR="005836C6" w:rsidRDefault="005836C6" w:rsidP="00B26A46">
      <w:pPr>
        <w:pStyle w:val="ListParagraph"/>
        <w:numPr>
          <w:ilvl w:val="1"/>
          <w:numId w:val="16"/>
        </w:numPr>
        <w:spacing w:after="0"/>
      </w:pPr>
      <w:r>
        <w:t xml:space="preserve">Every patient with AUB warrants a </w:t>
      </w:r>
      <w:r w:rsidRPr="00470B54">
        <w:rPr>
          <w:u w:val="single"/>
        </w:rPr>
        <w:t>pelvic exam</w:t>
      </w:r>
      <w:r>
        <w:t xml:space="preserve">! It is important to visualize the vulva, vaginal walls, and cervix to see if another source of bleeding exists. If you see blood coming out of the cervical </w:t>
      </w:r>
      <w:proofErr w:type="spellStart"/>
      <w:r>
        <w:t>os</w:t>
      </w:r>
      <w:proofErr w:type="spellEnd"/>
      <w:r>
        <w:t xml:space="preserve">, you can be </w:t>
      </w:r>
      <w:proofErr w:type="gramStart"/>
      <w:r>
        <w:t>fairly certain</w:t>
      </w:r>
      <w:proofErr w:type="gramEnd"/>
      <w:r>
        <w:t xml:space="preserve"> it is uterine in origin. You can also consider a bimanual exam to evaluate for an enlarged or tender uterus and any adnexal abnormalities. </w:t>
      </w:r>
    </w:p>
    <w:p w14:paraId="74B90C29" w14:textId="77777777" w:rsidR="00271495" w:rsidRDefault="005836C6" w:rsidP="00B26A46">
      <w:pPr>
        <w:pStyle w:val="ListParagraph"/>
        <w:numPr>
          <w:ilvl w:val="1"/>
          <w:numId w:val="16"/>
        </w:numPr>
        <w:spacing w:after="0"/>
      </w:pPr>
      <w:r>
        <w:t xml:space="preserve">In addition, all patients presenting with AUB should get the following three lab tests: </w:t>
      </w:r>
      <w:r w:rsidRPr="00470B54">
        <w:rPr>
          <w:u w:val="single"/>
        </w:rPr>
        <w:t>a pregnancy test, a CBC, and iron studies</w:t>
      </w:r>
      <w:r>
        <w:t xml:space="preserve">. </w:t>
      </w:r>
    </w:p>
    <w:p w14:paraId="7E33BEA3" w14:textId="77777777" w:rsidR="00271495" w:rsidRDefault="005836C6" w:rsidP="00B26A46">
      <w:pPr>
        <w:pStyle w:val="ListParagraph"/>
        <w:numPr>
          <w:ilvl w:val="2"/>
          <w:numId w:val="16"/>
        </w:numPr>
        <w:spacing w:after="0"/>
      </w:pPr>
      <w:r>
        <w:t xml:space="preserve">It is essential to rule out pregnancy in these patients. </w:t>
      </w:r>
    </w:p>
    <w:p w14:paraId="1292D891" w14:textId="77777777" w:rsidR="00271495" w:rsidRDefault="005836C6" w:rsidP="00B26A46">
      <w:pPr>
        <w:pStyle w:val="ListParagraph"/>
        <w:numPr>
          <w:ilvl w:val="2"/>
          <w:numId w:val="16"/>
        </w:numPr>
        <w:spacing w:after="0"/>
      </w:pPr>
      <w:r>
        <w:t xml:space="preserve">A CBC is recommended to evaluate for anemia or thrombocytopenia. </w:t>
      </w:r>
    </w:p>
    <w:p w14:paraId="5D9ECF42" w14:textId="620BF203" w:rsidR="00271495" w:rsidRPr="00B26A46" w:rsidRDefault="005836C6" w:rsidP="00B26A46">
      <w:pPr>
        <w:pStyle w:val="ListParagraph"/>
        <w:numPr>
          <w:ilvl w:val="2"/>
          <w:numId w:val="16"/>
        </w:numPr>
        <w:spacing w:after="0"/>
        <w:rPr>
          <w:b/>
          <w:bCs/>
          <w:i/>
          <w:iCs/>
        </w:rPr>
      </w:pPr>
      <w:r>
        <w:t xml:space="preserve">Lastly, iron studies are recommended to check for iron deficiency in the absence of anemia, which is extremely common in pre-menopausal women. Generally, a ferritin &lt; 50 in pre-menopausal women is considered abnormally low and warrants treatment.  </w:t>
      </w:r>
    </w:p>
    <w:p w14:paraId="703BDEB9" w14:textId="77777777" w:rsidR="00180A40" w:rsidRPr="00B26A46" w:rsidRDefault="00271495" w:rsidP="00B26A46">
      <w:pPr>
        <w:pStyle w:val="ListParagraph"/>
        <w:numPr>
          <w:ilvl w:val="0"/>
          <w:numId w:val="16"/>
        </w:numPr>
        <w:spacing w:after="0"/>
        <w:rPr>
          <w:i/>
          <w:iCs/>
        </w:rPr>
      </w:pPr>
      <w:r w:rsidRPr="00B26A46">
        <w:rPr>
          <w:u w:val="single"/>
        </w:rPr>
        <w:t>Structural Work-up</w:t>
      </w:r>
      <w:r w:rsidRPr="00B26A46">
        <w:rPr>
          <w:b/>
          <w:bCs/>
          <w:i/>
          <w:iCs/>
        </w:rPr>
        <w:t xml:space="preserve">: </w:t>
      </w:r>
      <w:r w:rsidRPr="00B26A46">
        <w:rPr>
          <w:i/>
          <w:iCs/>
        </w:rPr>
        <w:t>Click on “Structural” in the navigation bar or “</w:t>
      </w:r>
      <w:r w:rsidR="00D01A86" w:rsidRPr="00B26A46">
        <w:rPr>
          <w:i/>
          <w:iCs/>
        </w:rPr>
        <w:t xml:space="preserve">How do </w:t>
      </w:r>
      <w:r w:rsidR="00486FA7" w:rsidRPr="00B26A46">
        <w:rPr>
          <w:i/>
          <w:iCs/>
        </w:rPr>
        <w:t>you</w:t>
      </w:r>
      <w:r w:rsidR="00D01A86" w:rsidRPr="00B26A46">
        <w:rPr>
          <w:i/>
          <w:iCs/>
        </w:rPr>
        <w:t xml:space="preserve"> evaluate for structural causes of abnormal uterine bleeding?</w:t>
      </w:r>
      <w:r w:rsidRPr="00B26A46">
        <w:rPr>
          <w:i/>
          <w:iCs/>
        </w:rPr>
        <w:t xml:space="preserve">” button. </w:t>
      </w:r>
    </w:p>
    <w:p w14:paraId="0033C751" w14:textId="283DA9C7" w:rsidR="00180A40" w:rsidRDefault="00D01A86" w:rsidP="00B26A46">
      <w:pPr>
        <w:pStyle w:val="ListParagraph"/>
        <w:numPr>
          <w:ilvl w:val="1"/>
          <w:numId w:val="16"/>
        </w:numPr>
        <w:spacing w:after="0"/>
      </w:pPr>
      <w:r>
        <w:t>To further evaluate</w:t>
      </w:r>
      <w:r w:rsidR="005836C6">
        <w:t xml:space="preserve"> </w:t>
      </w:r>
      <w:r>
        <w:t xml:space="preserve">for </w:t>
      </w:r>
      <w:r w:rsidR="005836C6">
        <w:t>structural causes</w:t>
      </w:r>
      <w:r>
        <w:t xml:space="preserve"> of abnormal uterine building</w:t>
      </w:r>
      <w:r w:rsidR="005836C6">
        <w:t xml:space="preserve">, additional imaging is warranted. </w:t>
      </w:r>
      <w:r w:rsidR="00271495">
        <w:t xml:space="preserve">A </w:t>
      </w:r>
      <w:r w:rsidR="00271495" w:rsidRPr="00B26A46">
        <w:rPr>
          <w:u w:val="single"/>
        </w:rPr>
        <w:t>transvaginal ultrasound</w:t>
      </w:r>
      <w:r w:rsidR="00271495">
        <w:t xml:space="preserve"> can help </w:t>
      </w:r>
      <w:r w:rsidR="005836C6">
        <w:t>visualize the uterus, ovaries, and endometrial lining.</w:t>
      </w:r>
      <w:r>
        <w:t xml:space="preserve"> Note: if </w:t>
      </w:r>
      <w:r w:rsidR="004371A6">
        <w:t xml:space="preserve">feel an enlarged or boggy uterus on bimanual exam, or </w:t>
      </w:r>
      <w:r>
        <w:t xml:space="preserve">you see blood coming from the cervical </w:t>
      </w:r>
      <w:proofErr w:type="spellStart"/>
      <w:r>
        <w:t>os</w:t>
      </w:r>
      <w:proofErr w:type="spellEnd"/>
      <w:r>
        <w:t xml:space="preserve"> on pelvic exam, </w:t>
      </w:r>
      <w:r w:rsidR="004371A6">
        <w:t>these are suggestive of structural etiologies.</w:t>
      </w:r>
    </w:p>
    <w:p w14:paraId="5886F264" w14:textId="2F8BF82F" w:rsidR="00180A40" w:rsidRDefault="005836C6" w:rsidP="00B26A46">
      <w:pPr>
        <w:pStyle w:val="ListParagraph"/>
        <w:numPr>
          <w:ilvl w:val="1"/>
          <w:numId w:val="16"/>
        </w:numPr>
        <w:spacing w:after="0"/>
      </w:pPr>
      <w:r>
        <w:t xml:space="preserve">It is important </w:t>
      </w:r>
      <w:r w:rsidR="00180A40">
        <w:t>t</w:t>
      </w:r>
      <w:r>
        <w:t xml:space="preserve">o remember that abnormal uterine bleeding is the most common </w:t>
      </w:r>
      <w:r w:rsidR="00FB21DD">
        <w:t>symptom</w:t>
      </w:r>
      <w:r>
        <w:t xml:space="preserve"> of endometrial cancer. You should always consider an </w:t>
      </w:r>
      <w:r w:rsidRPr="00B26A46">
        <w:rPr>
          <w:u w:val="single"/>
        </w:rPr>
        <w:t>endometrial biopsy</w:t>
      </w:r>
      <w:r>
        <w:t xml:space="preserve"> in patients who are at high risk for endometrial hyperplasia or malignancy (anovulatory, obesity, tobacco use, age &gt;35, post-menopausal,</w:t>
      </w:r>
      <w:r w:rsidR="00180A40">
        <w:t xml:space="preserve"> </w:t>
      </w:r>
      <w:r>
        <w:t xml:space="preserve">etc.). </w:t>
      </w:r>
      <w:r w:rsidR="00180A40" w:rsidRPr="00B26A46">
        <w:rPr>
          <w:i/>
          <w:iCs/>
        </w:rPr>
        <w:t xml:space="preserve">Click on “risk factors for hyperplasia” to reveal answers. </w:t>
      </w:r>
    </w:p>
    <w:p w14:paraId="2755B3D7" w14:textId="63DA33E3" w:rsidR="00C6382A" w:rsidRDefault="00180A40" w:rsidP="00C6382A">
      <w:pPr>
        <w:pStyle w:val="ListParagraph"/>
        <w:rPr>
          <w:i/>
          <w:iCs/>
        </w:rPr>
      </w:pPr>
      <w:r w:rsidRPr="00B26A46">
        <w:rPr>
          <w:u w:val="single"/>
        </w:rPr>
        <w:t>Nonstructural Work-up</w:t>
      </w:r>
      <w:r w:rsidRPr="00B26A46">
        <w:t>:</w:t>
      </w:r>
      <w:r w:rsidRPr="00B26A46">
        <w:rPr>
          <w:b/>
          <w:bCs/>
        </w:rPr>
        <w:t xml:space="preserve"> </w:t>
      </w:r>
      <w:r w:rsidRPr="00B26A46">
        <w:rPr>
          <w:i/>
          <w:iCs/>
        </w:rPr>
        <w:t xml:space="preserve">Click on </w:t>
      </w:r>
      <w:r w:rsidRPr="00C6382A">
        <w:rPr>
          <w:i/>
          <w:iCs/>
        </w:rPr>
        <w:t>“</w:t>
      </w:r>
      <w:r w:rsidR="00D01A86" w:rsidRPr="00C6382A">
        <w:rPr>
          <w:i/>
          <w:iCs/>
        </w:rPr>
        <w:t>How do</w:t>
      </w:r>
      <w:r w:rsidR="00E86633" w:rsidRPr="00C6382A">
        <w:rPr>
          <w:i/>
          <w:iCs/>
        </w:rPr>
        <w:t xml:space="preserve"> you </w:t>
      </w:r>
      <w:r w:rsidR="00D01A86" w:rsidRPr="00C6382A">
        <w:rPr>
          <w:i/>
          <w:iCs/>
        </w:rPr>
        <w:t>evaluate for non-structural causes of abnormal uterine bleeding</w:t>
      </w:r>
      <w:r w:rsidR="00B26A46" w:rsidRPr="00B26A46">
        <w:rPr>
          <w:i/>
          <w:iCs/>
        </w:rPr>
        <w:t>?”</w:t>
      </w:r>
      <w:r w:rsidR="00B26A46">
        <w:t>. I</w:t>
      </w:r>
      <w:r w:rsidR="004371A6">
        <w:t>n broad terms, the next step is to collect a good personal and family bleeding history, a personal surgical history, a thorough review of systems, and review all medications. Workup will be guided by your history-taking.</w:t>
      </w:r>
      <w:r w:rsidR="00B26A46">
        <w:t xml:space="preserve"> </w:t>
      </w:r>
      <w:r w:rsidR="00B26A46">
        <w:rPr>
          <w:i/>
          <w:iCs/>
        </w:rPr>
        <w:t xml:space="preserve">Click on “Nonstructural” button in the navigation bar or “How do we initiate cause-specific work-up”. </w:t>
      </w:r>
    </w:p>
    <w:p w14:paraId="3AC4299F" w14:textId="77777777" w:rsidR="00C6382A" w:rsidRDefault="00C6382A" w:rsidP="00C6382A">
      <w:pPr>
        <w:pStyle w:val="ListParagraph"/>
        <w:numPr>
          <w:ilvl w:val="1"/>
          <w:numId w:val="16"/>
        </w:numPr>
        <w:spacing w:after="0"/>
      </w:pPr>
      <w:r w:rsidRPr="00B26A46">
        <w:t xml:space="preserve">Go through each non-structural category by reviewing a clinical vignette. Then ask the group for “clues” that may suggest that etiology, and their suggestions for initial workup by cause. </w:t>
      </w:r>
    </w:p>
    <w:p w14:paraId="53095F78" w14:textId="45058A78" w:rsidR="00C6382A" w:rsidRPr="00C6382A" w:rsidRDefault="00C6382A" w:rsidP="007528C3">
      <w:pPr>
        <w:pStyle w:val="ListParagraph"/>
        <w:numPr>
          <w:ilvl w:val="1"/>
          <w:numId w:val="16"/>
        </w:numPr>
        <w:rPr>
          <w:i/>
          <w:iCs/>
        </w:rPr>
      </w:pPr>
      <w:r w:rsidRPr="00C6382A">
        <w:rPr>
          <w:u w:val="single"/>
        </w:rPr>
        <w:t>Coagulopathy:</w:t>
      </w:r>
      <w:r>
        <w:t xml:space="preserve"> it is estimated that up to 20% of women experiencing heavy menstrual bleeding have a bleeding disorder, and the prevalence may be higher in adolescents who are having heavy menstrual bleeding. Factors increasing likelihood for a bleeding disorder include </w:t>
      </w:r>
      <w:r w:rsidRPr="00C6382A">
        <w:rPr>
          <w:rFonts w:ascii="Calibri" w:eastAsia="Times New Roman" w:hAnsi="Calibri" w:cs="Calibri"/>
          <w:color w:val="09142A"/>
          <w:shd w:val="clear" w:color="auto" w:fill="FFFFFF"/>
        </w:rPr>
        <w:t xml:space="preserve">heavy menstrual bleeding since menarche, history of postpartum hemorrhage; surgical bleeding, or bleeding with dental procedures; or </w:t>
      </w:r>
      <w:r w:rsidRPr="00C6382A">
        <w:rPr>
          <w:rFonts w:ascii="Calibri" w:eastAsia="Times New Roman" w:hAnsi="Calibri" w:cs="Calibri"/>
          <w:color w:val="09142A"/>
          <w:shd w:val="clear" w:color="auto" w:fill="FFFFFF"/>
        </w:rPr>
        <w:lastRenderedPageBreak/>
        <w:t xml:space="preserve">two or more of the following: frequent gum bleeding, bruising &gt; 5 cm at least monthly, epistaxis at least monthly, or family history of abnormal bleeding. </w:t>
      </w:r>
    </w:p>
    <w:p w14:paraId="036256E1" w14:textId="67C09D6E" w:rsidR="00C6382A" w:rsidRDefault="00C6382A" w:rsidP="00C6382A">
      <w:pPr>
        <w:pStyle w:val="ListParagraph"/>
        <w:numPr>
          <w:ilvl w:val="2"/>
          <w:numId w:val="16"/>
        </w:numPr>
        <w:spacing w:after="0"/>
      </w:pPr>
      <w:r>
        <w:t>Clues – Strong personal/family bleeding history or heavy menstrual bleeding since onset of menses</w:t>
      </w:r>
    </w:p>
    <w:p w14:paraId="63646FA8" w14:textId="4799BDBA" w:rsidR="00C6382A" w:rsidRPr="007528C3" w:rsidRDefault="00C6382A" w:rsidP="00C6382A">
      <w:pPr>
        <w:pStyle w:val="ListParagraph"/>
        <w:numPr>
          <w:ilvl w:val="2"/>
          <w:numId w:val="16"/>
        </w:numPr>
        <w:spacing w:after="0"/>
      </w:pPr>
      <w:r w:rsidRPr="00C6382A">
        <w:rPr>
          <w:rFonts w:ascii="Calibri" w:eastAsia="Times New Roman" w:hAnsi="Calibri" w:cs="Calibri"/>
          <w:color w:val="09142A"/>
          <w:shd w:val="clear" w:color="auto" w:fill="FFFFFF"/>
        </w:rPr>
        <w:t>Initial lab workup: Von Willebrand panel, PT/INR, PTT, factor</w:t>
      </w:r>
      <w:r>
        <w:rPr>
          <w:rFonts w:ascii="Calibri" w:eastAsia="Times New Roman" w:hAnsi="Calibri" w:cs="Calibri"/>
          <w:color w:val="09142A"/>
          <w:shd w:val="clear" w:color="auto" w:fill="FFFFFF"/>
        </w:rPr>
        <w:t xml:space="preserve"> activity</w:t>
      </w:r>
    </w:p>
    <w:p w14:paraId="14923464" w14:textId="0C51BD65" w:rsidR="00C6382A" w:rsidRPr="00D623C9" w:rsidRDefault="00C6382A" w:rsidP="007528C3">
      <w:pPr>
        <w:pStyle w:val="ListParagraph"/>
        <w:numPr>
          <w:ilvl w:val="1"/>
          <w:numId w:val="16"/>
        </w:numPr>
        <w:rPr>
          <w:i/>
          <w:iCs/>
        </w:rPr>
      </w:pPr>
      <w:r w:rsidRPr="00F70FC1">
        <w:rPr>
          <w:u w:val="single"/>
        </w:rPr>
        <w:t xml:space="preserve">Ovulatory dysfunction: </w:t>
      </w:r>
      <w:r>
        <w:t xml:space="preserve"> Many endocrine disorders can lead to abnormal uterine bleeding. These can be broadly grouped into two categories: </w:t>
      </w:r>
      <w:r w:rsidRPr="009A5008">
        <w:rPr>
          <w:u w:val="single"/>
        </w:rPr>
        <w:t>androgen excess</w:t>
      </w:r>
      <w:r>
        <w:t xml:space="preserve"> (PCOS, hormone-secreting tumor, congenital adrenal hyperplasia) and </w:t>
      </w:r>
      <w:r w:rsidRPr="009A5008">
        <w:rPr>
          <w:u w:val="single"/>
        </w:rPr>
        <w:t>hypothalamic-pituitary-adrenal axis dysfunction</w:t>
      </w:r>
      <w:r>
        <w:t xml:space="preserve"> (Cushing’s, stress (severe emotional or physiologic, female athlete triad), malnutrition/starvation (eating disorders, female athlete triad), hyperprolactinemia, lactation-induced, thyroid dysfunction, perimenopause, premature ovarian failure, pituitary tumors/trauma). While a good history can help guide your workup, the most common conditions are PCOS, thyroid dysfunction, and hyperprolactinemia</w:t>
      </w:r>
      <w:r w:rsidRPr="00C6382A">
        <w:rPr>
          <w:rFonts w:ascii="Calibri" w:eastAsia="Times New Roman" w:hAnsi="Calibri" w:cs="Calibri"/>
          <w:color w:val="09142A"/>
          <w:shd w:val="clear" w:color="auto" w:fill="FFFFFF"/>
        </w:rPr>
        <w:t xml:space="preserve">. </w:t>
      </w:r>
    </w:p>
    <w:tbl>
      <w:tblPr>
        <w:tblStyle w:val="TableGrid"/>
        <w:tblpPr w:vertAnchor="text" w:tblpXSpec="center" w:tblpY="1"/>
        <w:tblOverlap w:val="never"/>
        <w:tblW w:w="7798" w:type="dxa"/>
        <w:tblLook w:val="04A0" w:firstRow="1" w:lastRow="0" w:firstColumn="1" w:lastColumn="0" w:noHBand="0" w:noVBand="1"/>
      </w:tblPr>
      <w:tblGrid>
        <w:gridCol w:w="1908"/>
        <w:gridCol w:w="2950"/>
        <w:gridCol w:w="2940"/>
      </w:tblGrid>
      <w:tr w:rsidR="00D623C9" w:rsidRPr="00ED5925" w14:paraId="770A92F0" w14:textId="77777777" w:rsidTr="00D623C9">
        <w:trPr>
          <w:trHeight w:val="44"/>
        </w:trPr>
        <w:tc>
          <w:tcPr>
            <w:tcW w:w="1908" w:type="dxa"/>
          </w:tcPr>
          <w:p w14:paraId="1F4853AC" w14:textId="77777777" w:rsidR="00D623C9" w:rsidRPr="00ED5925" w:rsidRDefault="00D623C9" w:rsidP="00D623C9">
            <w:pPr>
              <w:pStyle w:val="ListParagraph"/>
              <w:ind w:left="0"/>
              <w:jc w:val="center"/>
              <w:rPr>
                <w:b/>
                <w:bCs/>
                <w:i/>
                <w:iCs/>
              </w:rPr>
            </w:pPr>
            <w:r w:rsidRPr="00ED5925">
              <w:rPr>
                <w:b/>
                <w:bCs/>
              </w:rPr>
              <w:t>Clues</w:t>
            </w:r>
          </w:p>
        </w:tc>
        <w:tc>
          <w:tcPr>
            <w:tcW w:w="2950" w:type="dxa"/>
          </w:tcPr>
          <w:p w14:paraId="34BEB4E4" w14:textId="77777777" w:rsidR="00D623C9" w:rsidRPr="00ED5925" w:rsidRDefault="00D623C9" w:rsidP="00D623C9">
            <w:pPr>
              <w:pStyle w:val="ListParagraph"/>
              <w:ind w:left="0"/>
              <w:jc w:val="center"/>
              <w:rPr>
                <w:b/>
                <w:bCs/>
              </w:rPr>
            </w:pPr>
            <w:r w:rsidRPr="00ED5925">
              <w:rPr>
                <w:b/>
                <w:bCs/>
              </w:rPr>
              <w:t>Diagnoses</w:t>
            </w:r>
          </w:p>
        </w:tc>
        <w:tc>
          <w:tcPr>
            <w:tcW w:w="2940" w:type="dxa"/>
            <w:vAlign w:val="center"/>
          </w:tcPr>
          <w:p w14:paraId="29F5535A" w14:textId="581F437B" w:rsidR="00D623C9" w:rsidRPr="00ED5925" w:rsidRDefault="00D623C9" w:rsidP="00D623C9">
            <w:pPr>
              <w:pStyle w:val="ListParagraph"/>
              <w:ind w:left="0"/>
              <w:jc w:val="center"/>
              <w:rPr>
                <w:b/>
                <w:bCs/>
              </w:rPr>
            </w:pPr>
            <w:r>
              <w:rPr>
                <w:b/>
                <w:bCs/>
              </w:rPr>
              <w:t>Work-up</w:t>
            </w:r>
          </w:p>
        </w:tc>
      </w:tr>
      <w:tr w:rsidR="00D623C9" w:rsidRPr="00D67E25" w14:paraId="1D25FD15" w14:textId="77777777" w:rsidTr="00D623C9">
        <w:trPr>
          <w:trHeight w:val="168"/>
        </w:trPr>
        <w:tc>
          <w:tcPr>
            <w:tcW w:w="1908" w:type="dxa"/>
          </w:tcPr>
          <w:p w14:paraId="6BB3E657" w14:textId="77777777" w:rsidR="00D623C9" w:rsidRPr="00D67E25" w:rsidRDefault="00D623C9" w:rsidP="00D623C9">
            <w:pPr>
              <w:pStyle w:val="ListParagraph"/>
              <w:ind w:left="0"/>
              <w:jc w:val="center"/>
            </w:pPr>
            <w:r w:rsidRPr="00D67E25">
              <w:t>Weight increase</w:t>
            </w:r>
          </w:p>
        </w:tc>
        <w:tc>
          <w:tcPr>
            <w:tcW w:w="2950" w:type="dxa"/>
          </w:tcPr>
          <w:p w14:paraId="6F9879D5" w14:textId="77777777" w:rsidR="00D623C9" w:rsidRPr="00D67E25" w:rsidRDefault="00D623C9" w:rsidP="00D623C9">
            <w:pPr>
              <w:pStyle w:val="ListParagraph"/>
              <w:ind w:left="0"/>
              <w:jc w:val="center"/>
            </w:pPr>
            <w:r w:rsidRPr="00D67E25">
              <w:t>Cushing’s, hypothyroidism</w:t>
            </w:r>
          </w:p>
        </w:tc>
        <w:tc>
          <w:tcPr>
            <w:tcW w:w="2940" w:type="dxa"/>
            <w:vAlign w:val="center"/>
          </w:tcPr>
          <w:p w14:paraId="567623CE" w14:textId="0584791D" w:rsidR="00D623C9" w:rsidRPr="00D67E25" w:rsidRDefault="00D623C9" w:rsidP="00D623C9">
            <w:pPr>
              <w:pStyle w:val="ListParagraph"/>
              <w:ind w:left="0"/>
              <w:jc w:val="center"/>
            </w:pPr>
            <w:r>
              <w:t>TSH</w:t>
            </w:r>
          </w:p>
        </w:tc>
      </w:tr>
      <w:tr w:rsidR="00D623C9" w:rsidRPr="00D67E25" w14:paraId="5E37E7F4" w14:textId="77777777" w:rsidTr="00D623C9">
        <w:trPr>
          <w:trHeight w:val="227"/>
        </w:trPr>
        <w:tc>
          <w:tcPr>
            <w:tcW w:w="1908" w:type="dxa"/>
          </w:tcPr>
          <w:p w14:paraId="556AE34C" w14:textId="77777777" w:rsidR="00D623C9" w:rsidRPr="00D67E25" w:rsidRDefault="00D623C9" w:rsidP="00D623C9">
            <w:pPr>
              <w:pStyle w:val="ListParagraph"/>
              <w:ind w:left="0"/>
              <w:jc w:val="center"/>
            </w:pPr>
            <w:r>
              <w:t>Weight decrease</w:t>
            </w:r>
          </w:p>
        </w:tc>
        <w:tc>
          <w:tcPr>
            <w:tcW w:w="2950" w:type="dxa"/>
          </w:tcPr>
          <w:p w14:paraId="009EBE31" w14:textId="77777777" w:rsidR="00D623C9" w:rsidRPr="00D67E25" w:rsidRDefault="00D623C9" w:rsidP="00D623C9">
            <w:pPr>
              <w:pStyle w:val="ListParagraph"/>
              <w:ind w:left="0"/>
              <w:jc w:val="center"/>
            </w:pPr>
            <w:r>
              <w:t>Stress, malnutrition, hyperthyroidism</w:t>
            </w:r>
          </w:p>
        </w:tc>
        <w:tc>
          <w:tcPr>
            <w:tcW w:w="2940" w:type="dxa"/>
            <w:vAlign w:val="center"/>
          </w:tcPr>
          <w:p w14:paraId="32FBE2F7" w14:textId="00DB0026" w:rsidR="00D623C9" w:rsidRDefault="00D623C9" w:rsidP="00D623C9">
            <w:pPr>
              <w:pStyle w:val="ListParagraph"/>
              <w:ind w:left="0"/>
              <w:jc w:val="center"/>
            </w:pPr>
            <w:r>
              <w:t>TSH</w:t>
            </w:r>
          </w:p>
        </w:tc>
      </w:tr>
      <w:tr w:rsidR="00D623C9" w:rsidRPr="00D67E25" w14:paraId="0AD49AA8" w14:textId="77777777" w:rsidTr="00D623C9">
        <w:trPr>
          <w:trHeight w:val="48"/>
        </w:trPr>
        <w:tc>
          <w:tcPr>
            <w:tcW w:w="1908" w:type="dxa"/>
            <w:vMerge w:val="restart"/>
          </w:tcPr>
          <w:p w14:paraId="21CA5FAC" w14:textId="77777777" w:rsidR="00D623C9" w:rsidRPr="00D67E25" w:rsidRDefault="00D623C9" w:rsidP="00D623C9">
            <w:pPr>
              <w:pStyle w:val="ListParagraph"/>
              <w:ind w:left="0"/>
              <w:jc w:val="center"/>
            </w:pPr>
            <w:r>
              <w:t>Hirsutism</w:t>
            </w:r>
          </w:p>
        </w:tc>
        <w:tc>
          <w:tcPr>
            <w:tcW w:w="2950" w:type="dxa"/>
          </w:tcPr>
          <w:p w14:paraId="6BC50FC4" w14:textId="77777777" w:rsidR="00D623C9" w:rsidRPr="00D67E25" w:rsidRDefault="00D623C9" w:rsidP="00D623C9">
            <w:pPr>
              <w:pStyle w:val="ListParagraph"/>
              <w:ind w:left="0"/>
              <w:jc w:val="center"/>
            </w:pPr>
            <w:r>
              <w:t>PCOS</w:t>
            </w:r>
          </w:p>
        </w:tc>
        <w:tc>
          <w:tcPr>
            <w:tcW w:w="2940" w:type="dxa"/>
            <w:vAlign w:val="center"/>
          </w:tcPr>
          <w:p w14:paraId="7ABE5AF9" w14:textId="5886D173" w:rsidR="00D623C9" w:rsidRDefault="00D623C9" w:rsidP="00D623C9">
            <w:pPr>
              <w:pStyle w:val="ListParagraph"/>
              <w:ind w:left="0"/>
              <w:jc w:val="center"/>
            </w:pPr>
            <w:r>
              <w:t>Total testosterone</w:t>
            </w:r>
          </w:p>
        </w:tc>
      </w:tr>
      <w:tr w:rsidR="00D623C9" w14:paraId="180765A1" w14:textId="77777777" w:rsidTr="00D623C9">
        <w:trPr>
          <w:trHeight w:val="180"/>
        </w:trPr>
        <w:tc>
          <w:tcPr>
            <w:tcW w:w="1908" w:type="dxa"/>
            <w:vMerge/>
          </w:tcPr>
          <w:p w14:paraId="193DDF2D" w14:textId="77777777" w:rsidR="00D623C9" w:rsidRDefault="00D623C9" w:rsidP="00D623C9">
            <w:pPr>
              <w:pStyle w:val="ListParagraph"/>
              <w:ind w:left="0"/>
              <w:jc w:val="center"/>
            </w:pPr>
          </w:p>
        </w:tc>
        <w:tc>
          <w:tcPr>
            <w:tcW w:w="2950" w:type="dxa"/>
          </w:tcPr>
          <w:p w14:paraId="75A77808" w14:textId="77777777" w:rsidR="00D623C9" w:rsidRDefault="00D623C9" w:rsidP="00D623C9">
            <w:pPr>
              <w:pStyle w:val="ListParagraph"/>
              <w:ind w:left="0"/>
              <w:jc w:val="center"/>
            </w:pPr>
            <w:r>
              <w:t>Congenital adrenal hyperplasia</w:t>
            </w:r>
          </w:p>
        </w:tc>
        <w:tc>
          <w:tcPr>
            <w:tcW w:w="2940" w:type="dxa"/>
            <w:vAlign w:val="center"/>
          </w:tcPr>
          <w:p w14:paraId="7FD27A8E" w14:textId="71190869" w:rsidR="00D623C9" w:rsidRDefault="00D623C9" w:rsidP="00D623C9">
            <w:pPr>
              <w:pStyle w:val="ListParagraph"/>
              <w:ind w:left="0"/>
              <w:jc w:val="center"/>
            </w:pPr>
            <w:r>
              <w:t xml:space="preserve">17- </w:t>
            </w:r>
            <w:r>
              <w:t>hydroxyprogesterone</w:t>
            </w:r>
          </w:p>
        </w:tc>
      </w:tr>
      <w:tr w:rsidR="00D623C9" w14:paraId="1731A365" w14:textId="77777777" w:rsidTr="00D623C9">
        <w:trPr>
          <w:trHeight w:val="26"/>
        </w:trPr>
        <w:tc>
          <w:tcPr>
            <w:tcW w:w="1908" w:type="dxa"/>
            <w:vMerge/>
          </w:tcPr>
          <w:p w14:paraId="6ED28795" w14:textId="77777777" w:rsidR="00D623C9" w:rsidRDefault="00D623C9" w:rsidP="00D623C9">
            <w:pPr>
              <w:pStyle w:val="ListParagraph"/>
              <w:ind w:left="0"/>
              <w:jc w:val="center"/>
            </w:pPr>
          </w:p>
        </w:tc>
        <w:tc>
          <w:tcPr>
            <w:tcW w:w="2950" w:type="dxa"/>
          </w:tcPr>
          <w:p w14:paraId="1DA864E1" w14:textId="77777777" w:rsidR="00D623C9" w:rsidRDefault="00D623C9" w:rsidP="00D623C9">
            <w:pPr>
              <w:pStyle w:val="ListParagraph"/>
              <w:ind w:left="0"/>
              <w:jc w:val="center"/>
            </w:pPr>
            <w:r>
              <w:t>Androgen-secreting tumor</w:t>
            </w:r>
          </w:p>
        </w:tc>
        <w:tc>
          <w:tcPr>
            <w:tcW w:w="2940" w:type="dxa"/>
            <w:vAlign w:val="center"/>
          </w:tcPr>
          <w:p w14:paraId="532C2FC0" w14:textId="6B6EF1E7" w:rsidR="00D623C9" w:rsidRDefault="00D623C9" w:rsidP="00D623C9">
            <w:pPr>
              <w:pStyle w:val="ListParagraph"/>
              <w:ind w:left="0"/>
              <w:jc w:val="center"/>
            </w:pPr>
            <w:r>
              <w:t>DHEAS</w:t>
            </w:r>
          </w:p>
        </w:tc>
      </w:tr>
      <w:tr w:rsidR="00D623C9" w14:paraId="7E4835E1" w14:textId="77777777" w:rsidTr="00D623C9">
        <w:trPr>
          <w:trHeight w:val="26"/>
        </w:trPr>
        <w:tc>
          <w:tcPr>
            <w:tcW w:w="1908" w:type="dxa"/>
          </w:tcPr>
          <w:p w14:paraId="66561927" w14:textId="77777777" w:rsidR="00D623C9" w:rsidRDefault="00D623C9" w:rsidP="00D623C9">
            <w:pPr>
              <w:pStyle w:val="ListParagraph"/>
              <w:ind w:left="0"/>
              <w:jc w:val="center"/>
            </w:pPr>
            <w:r>
              <w:t>Breast discharge</w:t>
            </w:r>
          </w:p>
        </w:tc>
        <w:tc>
          <w:tcPr>
            <w:tcW w:w="2950" w:type="dxa"/>
          </w:tcPr>
          <w:p w14:paraId="100FE79B" w14:textId="77777777" w:rsidR="00D623C9" w:rsidRDefault="00D623C9" w:rsidP="00D623C9">
            <w:pPr>
              <w:pStyle w:val="ListParagraph"/>
              <w:ind w:left="0"/>
              <w:jc w:val="center"/>
            </w:pPr>
            <w:r>
              <w:t>Prolactinoma</w:t>
            </w:r>
          </w:p>
        </w:tc>
        <w:tc>
          <w:tcPr>
            <w:tcW w:w="2940" w:type="dxa"/>
            <w:vAlign w:val="center"/>
          </w:tcPr>
          <w:p w14:paraId="2545B0C3" w14:textId="405B9125" w:rsidR="00D623C9" w:rsidRDefault="00D623C9" w:rsidP="00D623C9">
            <w:pPr>
              <w:pStyle w:val="ListParagraph"/>
              <w:ind w:left="0"/>
              <w:jc w:val="center"/>
            </w:pPr>
            <w:r>
              <w:t>Prolactin</w:t>
            </w:r>
          </w:p>
        </w:tc>
      </w:tr>
      <w:tr w:rsidR="00D623C9" w14:paraId="1DA204AC" w14:textId="77777777" w:rsidTr="00D623C9">
        <w:trPr>
          <w:trHeight w:val="44"/>
        </w:trPr>
        <w:tc>
          <w:tcPr>
            <w:tcW w:w="1908" w:type="dxa"/>
          </w:tcPr>
          <w:p w14:paraId="3347F6D8" w14:textId="77777777" w:rsidR="00D623C9" w:rsidRDefault="00D623C9" w:rsidP="00D623C9">
            <w:pPr>
              <w:pStyle w:val="ListParagraph"/>
              <w:ind w:left="0"/>
              <w:jc w:val="center"/>
            </w:pPr>
            <w:r>
              <w:t>Hot flashes</w:t>
            </w:r>
          </w:p>
        </w:tc>
        <w:tc>
          <w:tcPr>
            <w:tcW w:w="2950" w:type="dxa"/>
          </w:tcPr>
          <w:p w14:paraId="6AD58AEB" w14:textId="77777777" w:rsidR="00D623C9" w:rsidRDefault="00D623C9" w:rsidP="00D623C9">
            <w:pPr>
              <w:pStyle w:val="ListParagraph"/>
              <w:ind w:left="0"/>
              <w:jc w:val="center"/>
            </w:pPr>
            <w:r>
              <w:t>Perimenopause</w:t>
            </w:r>
          </w:p>
        </w:tc>
        <w:tc>
          <w:tcPr>
            <w:tcW w:w="2940" w:type="dxa"/>
            <w:vAlign w:val="center"/>
          </w:tcPr>
          <w:p w14:paraId="3A3C3300" w14:textId="4E0A12FD" w:rsidR="00D623C9" w:rsidRDefault="00D623C9" w:rsidP="00D623C9">
            <w:pPr>
              <w:pStyle w:val="ListParagraph"/>
              <w:ind w:left="0"/>
              <w:jc w:val="center"/>
            </w:pPr>
            <w:r>
              <w:t>FSH, LH</w:t>
            </w:r>
          </w:p>
        </w:tc>
      </w:tr>
    </w:tbl>
    <w:p w14:paraId="36DB89F5" w14:textId="77777777" w:rsidR="00D623C9" w:rsidRPr="00D67E25" w:rsidRDefault="00D623C9" w:rsidP="00D623C9">
      <w:pPr>
        <w:pStyle w:val="ListParagraph"/>
        <w:ind w:left="1440"/>
        <w:rPr>
          <w:i/>
          <w:iCs/>
        </w:rPr>
      </w:pPr>
    </w:p>
    <w:p w14:paraId="414933D7" w14:textId="5D6270EE" w:rsidR="007528C3" w:rsidRPr="007528C3" w:rsidRDefault="007528C3" w:rsidP="007528C3">
      <w:pPr>
        <w:pStyle w:val="ListParagraph"/>
        <w:numPr>
          <w:ilvl w:val="1"/>
          <w:numId w:val="16"/>
        </w:numPr>
        <w:rPr>
          <w:i/>
          <w:iCs/>
        </w:rPr>
      </w:pPr>
      <w:r w:rsidRPr="00F70FC1">
        <w:rPr>
          <w:u w:val="single"/>
        </w:rPr>
        <w:t>Endometrial:</w:t>
      </w:r>
      <w:r>
        <w:t xml:space="preserve"> Most common</w:t>
      </w:r>
      <w:r w:rsidR="00B5381E">
        <w:t xml:space="preserve"> </w:t>
      </w:r>
      <w:r>
        <w:t xml:space="preserve">is endometritis, i.e., endometrial infection or inflammation, and pelvic inflammatory disease (PID). </w:t>
      </w:r>
      <w:r w:rsidR="00B5381E">
        <w:t>This is frequently</w:t>
      </w:r>
      <w:r>
        <w:t xml:space="preserve"> caused by sexually transmitted infections. However, </w:t>
      </w:r>
      <w:r w:rsidR="00B5381E">
        <w:t>there are</w:t>
      </w:r>
      <w:r>
        <w:t xml:space="preserve"> disorders of endometrial hemostasis included in this category, but this is poorly understood</w:t>
      </w:r>
      <w:r w:rsidRPr="00C6382A">
        <w:rPr>
          <w:rFonts w:ascii="Calibri" w:eastAsia="Times New Roman" w:hAnsi="Calibri" w:cs="Calibri"/>
          <w:color w:val="09142A"/>
          <w:shd w:val="clear" w:color="auto" w:fill="FFFFFF"/>
        </w:rPr>
        <w:t xml:space="preserve">. </w:t>
      </w:r>
      <w:r>
        <w:rPr>
          <w:rFonts w:ascii="Calibri" w:eastAsia="Times New Roman" w:hAnsi="Calibri" w:cs="Calibri"/>
          <w:color w:val="09142A"/>
          <w:shd w:val="clear" w:color="auto" w:fill="FFFFFF"/>
        </w:rPr>
        <w:t>Initial work-up is STI testing (gonorrhea and chlamydia</w:t>
      </w:r>
      <w:r w:rsidR="00B5381E">
        <w:rPr>
          <w:rFonts w:ascii="Calibri" w:eastAsia="Times New Roman" w:hAnsi="Calibri" w:cs="Calibri"/>
          <w:color w:val="09142A"/>
          <w:shd w:val="clear" w:color="auto" w:fill="FFFFFF"/>
        </w:rPr>
        <w:t>)</w:t>
      </w:r>
      <w:r>
        <w:rPr>
          <w:rFonts w:ascii="Calibri" w:eastAsia="Times New Roman" w:hAnsi="Calibri" w:cs="Calibri"/>
          <w:color w:val="09142A"/>
          <w:shd w:val="clear" w:color="auto" w:fill="FFFFFF"/>
        </w:rPr>
        <w:t xml:space="preserve"> testing. </w:t>
      </w:r>
    </w:p>
    <w:p w14:paraId="16FA5260" w14:textId="1D03E21B" w:rsidR="007528C3" w:rsidRPr="00C6382A" w:rsidRDefault="007528C3" w:rsidP="007528C3">
      <w:pPr>
        <w:pStyle w:val="ListParagraph"/>
        <w:numPr>
          <w:ilvl w:val="1"/>
          <w:numId w:val="16"/>
        </w:numPr>
        <w:rPr>
          <w:i/>
          <w:iCs/>
        </w:rPr>
      </w:pPr>
      <w:r w:rsidRPr="00F70FC1">
        <w:rPr>
          <w:u w:val="single"/>
        </w:rPr>
        <w:t>Iatrogenic:</w:t>
      </w:r>
      <w:r>
        <w:t xml:space="preserve"> Review medication list and procedural history. Medications that can cause AUB include all hormonal birth control options, including IUDs and implants, anticoagulants, SERMs, like tamoxifen and raloxifene, steroids, and dopamine antagonists (TCAs, antipsychotics</w:t>
      </w:r>
      <w:r>
        <w:t>)</w:t>
      </w:r>
      <w:r>
        <w:rPr>
          <w:rFonts w:ascii="Calibri" w:eastAsia="Times New Roman" w:hAnsi="Calibri" w:cs="Calibri"/>
          <w:color w:val="09142A"/>
          <w:shd w:val="clear" w:color="auto" w:fill="FFFFFF"/>
        </w:rPr>
        <w:t xml:space="preserve">. </w:t>
      </w:r>
    </w:p>
    <w:p w14:paraId="27CC2054" w14:textId="77777777" w:rsidR="007528C3" w:rsidRDefault="007528C3" w:rsidP="007528C3">
      <w:pPr>
        <w:pStyle w:val="ListParagraph"/>
        <w:numPr>
          <w:ilvl w:val="1"/>
          <w:numId w:val="16"/>
        </w:numPr>
        <w:spacing w:after="0"/>
      </w:pPr>
      <w:r w:rsidRPr="007528C3">
        <w:rPr>
          <w:u w:val="single"/>
        </w:rPr>
        <w:t>Not otherwise specified:</w:t>
      </w:r>
      <w:r>
        <w:t xml:space="preserve"> This is a catch-all bucket for weird or ~unknown~ causes, like endometrial AVMs and uterine scar defects. </w:t>
      </w:r>
    </w:p>
    <w:p w14:paraId="05CD20DD" w14:textId="74A50AB3" w:rsidR="001E103B" w:rsidRPr="007528C3" w:rsidRDefault="001E103B" w:rsidP="007528C3">
      <w:pPr>
        <w:spacing w:after="0" w:line="240" w:lineRule="auto"/>
        <w:contextualSpacing/>
        <w:rPr>
          <w:rFonts w:eastAsia="Times New Roman" w:cstheme="minorHAnsi"/>
          <w:color w:val="000000" w:themeColor="text1"/>
          <w:spacing w:val="4"/>
        </w:rPr>
      </w:pPr>
    </w:p>
    <w:p w14:paraId="29726C71" w14:textId="77777777" w:rsidR="001E103B" w:rsidRPr="00BE73DA" w:rsidRDefault="001E103B" w:rsidP="007528C3">
      <w:pPr>
        <w:spacing w:after="0" w:line="240" w:lineRule="auto"/>
        <w:contextualSpacing/>
        <w:outlineLvl w:val="1"/>
        <w:rPr>
          <w:rFonts w:eastAsia="Times New Roman" w:cstheme="minorHAnsi"/>
          <w:b/>
          <w:bCs/>
          <w:color w:val="000000"/>
        </w:rPr>
      </w:pPr>
      <w:r w:rsidRPr="00BE73DA">
        <w:rPr>
          <w:rFonts w:eastAsia="Times New Roman" w:cstheme="minorHAnsi"/>
          <w:b/>
          <w:bCs/>
          <w:color w:val="000000"/>
        </w:rPr>
        <w:t>Take Home Points</w:t>
      </w:r>
    </w:p>
    <w:p w14:paraId="25B700B2" w14:textId="77777777" w:rsidR="001E103B" w:rsidRPr="00000261" w:rsidRDefault="001E103B" w:rsidP="007528C3">
      <w:pPr>
        <w:pStyle w:val="ListParagraph"/>
        <w:numPr>
          <w:ilvl w:val="0"/>
          <w:numId w:val="5"/>
        </w:numPr>
        <w:spacing w:after="0" w:line="240" w:lineRule="auto"/>
        <w:outlineLvl w:val="1"/>
        <w:rPr>
          <w:rFonts w:eastAsia="Times New Roman" w:cstheme="minorHAnsi"/>
          <w:color w:val="000000" w:themeColor="text1"/>
        </w:rPr>
      </w:pPr>
      <w:r w:rsidRPr="00000261">
        <w:rPr>
          <w:rFonts w:eastAsia="Times New Roman" w:cstheme="minorHAnsi"/>
          <w:color w:val="000000" w:themeColor="text1"/>
        </w:rPr>
        <w:t xml:space="preserve">Abnormal uterine bleeding is defined by abnormalities in bleeding duration, frequency, regularity, and/or volume. </w:t>
      </w:r>
    </w:p>
    <w:p w14:paraId="78A277BD" w14:textId="77777777" w:rsidR="001E103B" w:rsidRPr="00000261" w:rsidRDefault="001E103B" w:rsidP="007528C3">
      <w:pPr>
        <w:pStyle w:val="ListParagraph"/>
        <w:numPr>
          <w:ilvl w:val="0"/>
          <w:numId w:val="5"/>
        </w:numPr>
        <w:spacing w:after="0" w:line="240" w:lineRule="auto"/>
        <w:outlineLvl w:val="1"/>
        <w:rPr>
          <w:rFonts w:eastAsia="Times New Roman" w:cstheme="minorHAnsi"/>
          <w:color w:val="000000" w:themeColor="text1"/>
        </w:rPr>
      </w:pPr>
      <w:r w:rsidRPr="00000261">
        <w:rPr>
          <w:rFonts w:eastAsia="Times New Roman" w:cstheme="minorHAnsi"/>
          <w:color w:val="000000" w:themeColor="text1"/>
        </w:rPr>
        <w:t xml:space="preserve">The “PALM-COEIN” mnemonic provides a comprehensive differential for abnormal uterine bleeding including both structural and non-structural causes. </w:t>
      </w:r>
    </w:p>
    <w:p w14:paraId="0BD88E04" w14:textId="4DA55A6F" w:rsidR="001E103B" w:rsidRPr="00000261" w:rsidRDefault="001E103B" w:rsidP="007528C3">
      <w:pPr>
        <w:pStyle w:val="ListParagraph"/>
        <w:numPr>
          <w:ilvl w:val="0"/>
          <w:numId w:val="5"/>
        </w:numPr>
        <w:spacing w:after="0" w:line="240" w:lineRule="auto"/>
        <w:outlineLvl w:val="1"/>
        <w:rPr>
          <w:rFonts w:eastAsia="Times New Roman" w:cstheme="minorHAnsi"/>
          <w:color w:val="000000" w:themeColor="text1"/>
        </w:rPr>
      </w:pPr>
      <w:r w:rsidRPr="00000261">
        <w:rPr>
          <w:rFonts w:eastAsia="Times New Roman" w:cstheme="minorHAnsi"/>
          <w:color w:val="000000" w:themeColor="text1"/>
        </w:rPr>
        <w:t xml:space="preserve">All patients presenting with abnormal uterine bleeding should undergo pelvic examination and lab testing with a pregnancy test, CBC, and iron studies. </w:t>
      </w:r>
    </w:p>
    <w:p w14:paraId="0DCCE8C7" w14:textId="77777777" w:rsidR="001E103B" w:rsidRDefault="001E103B" w:rsidP="00371668">
      <w:pPr>
        <w:spacing w:after="0" w:line="240" w:lineRule="auto"/>
        <w:contextualSpacing/>
        <w:outlineLvl w:val="1"/>
        <w:rPr>
          <w:rFonts w:eastAsia="Times New Roman" w:cstheme="minorHAnsi"/>
        </w:rPr>
      </w:pPr>
    </w:p>
    <w:p w14:paraId="090ACC0D" w14:textId="77777777" w:rsidR="001E103B" w:rsidRDefault="001E103B">
      <w:pPr>
        <w:spacing w:after="0" w:line="240" w:lineRule="auto"/>
        <w:contextualSpacing/>
        <w:outlineLvl w:val="1"/>
        <w:rPr>
          <w:rFonts w:eastAsia="Times New Roman" w:cstheme="minorHAnsi"/>
          <w:b/>
          <w:bCs/>
          <w:color w:val="000000"/>
        </w:rPr>
      </w:pPr>
      <w:r w:rsidRPr="00BE73DA">
        <w:rPr>
          <w:rFonts w:eastAsia="Times New Roman" w:cstheme="minorHAnsi"/>
          <w:b/>
          <w:bCs/>
          <w:color w:val="000000"/>
        </w:rPr>
        <w:t>References</w:t>
      </w:r>
    </w:p>
    <w:p w14:paraId="7E42B336" w14:textId="77777777" w:rsidR="001E103B" w:rsidRPr="00C34466" w:rsidRDefault="001E103B">
      <w:pPr>
        <w:pStyle w:val="ListParagraph"/>
        <w:numPr>
          <w:ilvl w:val="0"/>
          <w:numId w:val="6"/>
        </w:numPr>
        <w:spacing w:after="0" w:line="240" w:lineRule="auto"/>
        <w:rPr>
          <w:rFonts w:ascii="Calibri" w:eastAsia="Times New Roman" w:hAnsi="Calibri" w:cs="Calibri"/>
        </w:rPr>
      </w:pPr>
      <w:r w:rsidRPr="00F70FC1">
        <w:rPr>
          <w:rFonts w:ascii="Calibri" w:eastAsia="Times New Roman" w:hAnsi="Calibri" w:cs="Calibri"/>
          <w:color w:val="000000"/>
          <w:shd w:val="clear" w:color="auto" w:fill="FFFFFF"/>
        </w:rPr>
        <w:t>Practice bulletin no. 128: Diagnosis of abnormal uterine bleeding in reproductive-aged women. (</w:t>
      </w:r>
      <w:r w:rsidRPr="00C34466">
        <w:rPr>
          <w:rFonts w:ascii="Calibri" w:eastAsia="Times New Roman" w:hAnsi="Calibri" w:cs="Calibri"/>
          <w:color w:val="000000"/>
          <w:shd w:val="clear" w:color="auto" w:fill="FFFFFF"/>
        </w:rPr>
        <w:t>20127). </w:t>
      </w:r>
      <w:r w:rsidRPr="00C34466">
        <w:rPr>
          <w:rFonts w:ascii="Calibri" w:eastAsia="Times New Roman" w:hAnsi="Calibri" w:cs="Calibri"/>
          <w:i/>
          <w:iCs/>
          <w:color w:val="000000"/>
          <w:shd w:val="clear" w:color="auto" w:fill="FFFFFF"/>
        </w:rPr>
        <w:t>Obstetrics and Gynecology.,</w:t>
      </w:r>
      <w:r w:rsidRPr="00C34466">
        <w:rPr>
          <w:rFonts w:ascii="Calibri" w:eastAsia="Times New Roman" w:hAnsi="Calibri" w:cs="Calibri"/>
          <w:color w:val="000000"/>
          <w:shd w:val="clear" w:color="auto" w:fill="FFFFFF"/>
        </w:rPr>
        <w:t> </w:t>
      </w:r>
      <w:r w:rsidRPr="00C34466">
        <w:rPr>
          <w:rFonts w:ascii="Calibri" w:eastAsia="Times New Roman" w:hAnsi="Calibri" w:cs="Calibri"/>
          <w:i/>
          <w:iCs/>
          <w:color w:val="000000"/>
          <w:shd w:val="clear" w:color="auto" w:fill="FFFFFF"/>
        </w:rPr>
        <w:t>120</w:t>
      </w:r>
      <w:r w:rsidRPr="00C34466">
        <w:rPr>
          <w:rFonts w:ascii="Calibri" w:eastAsia="Times New Roman" w:hAnsi="Calibri" w:cs="Calibri"/>
          <w:color w:val="000000"/>
          <w:shd w:val="clear" w:color="auto" w:fill="FFFFFF"/>
        </w:rPr>
        <w:t>(1), 197-206.</w:t>
      </w:r>
    </w:p>
    <w:p w14:paraId="5FE20A10" w14:textId="77777777" w:rsidR="001E103B" w:rsidRPr="00C34466" w:rsidRDefault="001E103B">
      <w:pPr>
        <w:pStyle w:val="ListParagraph"/>
        <w:numPr>
          <w:ilvl w:val="0"/>
          <w:numId w:val="6"/>
        </w:numPr>
        <w:spacing w:after="0" w:line="240" w:lineRule="auto"/>
        <w:rPr>
          <w:rFonts w:ascii="Calibri" w:eastAsia="Times New Roman" w:hAnsi="Calibri" w:cs="Calibri"/>
        </w:rPr>
      </w:pPr>
      <w:r w:rsidRPr="00C34466">
        <w:rPr>
          <w:rFonts w:ascii="Calibri" w:hAnsi="Calibri" w:cs="Calibri"/>
        </w:rPr>
        <w:t xml:space="preserve">Abnormal uterine bleeding in pre-menopausal women. </w:t>
      </w:r>
      <w:r w:rsidRPr="00C34466">
        <w:rPr>
          <w:rFonts w:ascii="Calibri" w:eastAsia="Times New Roman" w:hAnsi="Calibri" w:cs="Calibri"/>
          <w:i/>
          <w:iCs/>
          <w:color w:val="09142A"/>
          <w:shd w:val="clear" w:color="auto" w:fill="FFFFFF"/>
        </w:rPr>
        <w:t xml:space="preserve">Am Fam Physician. </w:t>
      </w:r>
      <w:r w:rsidRPr="00C34466">
        <w:rPr>
          <w:rFonts w:ascii="Calibri" w:eastAsia="Times New Roman" w:hAnsi="Calibri" w:cs="Calibri"/>
          <w:color w:val="09142A"/>
          <w:shd w:val="clear" w:color="auto" w:fill="FFFFFF"/>
        </w:rPr>
        <w:t>2019 Apr 1;99(7):435-443.</w:t>
      </w:r>
    </w:p>
    <w:p w14:paraId="7DA8F3EE" w14:textId="77777777" w:rsidR="001E103B" w:rsidRPr="00C34466" w:rsidRDefault="001E103B">
      <w:pPr>
        <w:pStyle w:val="ListParagraph"/>
        <w:numPr>
          <w:ilvl w:val="0"/>
          <w:numId w:val="6"/>
        </w:numPr>
        <w:spacing w:after="0" w:line="240" w:lineRule="auto"/>
        <w:rPr>
          <w:rFonts w:ascii="Calibri" w:eastAsia="Times New Roman" w:hAnsi="Calibri" w:cs="Calibri"/>
        </w:rPr>
      </w:pPr>
      <w:r w:rsidRPr="00C34466">
        <w:rPr>
          <w:rFonts w:ascii="Calibri" w:eastAsia="Times New Roman" w:hAnsi="Calibri" w:cs="Calibri"/>
          <w:color w:val="09142A"/>
          <w:shd w:val="clear" w:color="auto" w:fill="FFFFFF"/>
        </w:rPr>
        <w:t>Kadir RA, Economides DL, Sabin CA, Owens D, Lee CA. Frequency of inherited bleeding disorders in women with menorrhagia. </w:t>
      </w:r>
      <w:r w:rsidRPr="00C34466">
        <w:rPr>
          <w:rFonts w:ascii="Calibri" w:eastAsia="Times New Roman" w:hAnsi="Calibri" w:cs="Calibri"/>
          <w:i/>
          <w:iCs/>
          <w:color w:val="09142A"/>
          <w:shd w:val="clear" w:color="auto" w:fill="FFFFFF"/>
        </w:rPr>
        <w:t>Lancet</w:t>
      </w:r>
      <w:r w:rsidRPr="00C34466">
        <w:rPr>
          <w:rFonts w:ascii="Calibri" w:eastAsia="Times New Roman" w:hAnsi="Calibri" w:cs="Calibri"/>
          <w:color w:val="09142A"/>
          <w:shd w:val="clear" w:color="auto" w:fill="FFFFFF"/>
        </w:rPr>
        <w:t>. 1998;351(9101):485–489.</w:t>
      </w:r>
    </w:p>
    <w:p w14:paraId="55A2F5C9" w14:textId="77777777" w:rsidR="001E103B" w:rsidRPr="00C34466" w:rsidRDefault="001E103B">
      <w:pPr>
        <w:pStyle w:val="ListParagraph"/>
        <w:numPr>
          <w:ilvl w:val="0"/>
          <w:numId w:val="6"/>
        </w:numPr>
        <w:spacing w:after="0" w:line="240" w:lineRule="auto"/>
        <w:rPr>
          <w:rFonts w:ascii="Calibri" w:eastAsia="Times New Roman" w:hAnsi="Calibri" w:cs="Calibri"/>
        </w:rPr>
      </w:pPr>
      <w:r w:rsidRPr="00C34466">
        <w:rPr>
          <w:rFonts w:ascii="Calibri" w:eastAsia="Times New Roman" w:hAnsi="Calibri" w:cs="Calibri"/>
          <w:color w:val="212529"/>
          <w:shd w:val="clear" w:color="auto" w:fill="FFFFFF"/>
        </w:rPr>
        <w:t>Peter Joseph O'Donovan, Charles E Miller. Modern Management of Abnormal Uterine Bleeding (2008).</w:t>
      </w:r>
    </w:p>
    <w:p w14:paraId="70961AF7" w14:textId="77777777" w:rsidR="00D623C9" w:rsidRDefault="008E6813" w:rsidP="007528C3">
      <w:pPr>
        <w:spacing w:after="0"/>
      </w:pPr>
      <w:r>
        <w:t xml:space="preserve"> </w:t>
      </w:r>
    </w:p>
    <w:p w14:paraId="587639A7" w14:textId="4F1B97A9" w:rsidR="004371A6" w:rsidRDefault="004371A6" w:rsidP="007528C3">
      <w:pPr>
        <w:spacing w:after="0"/>
      </w:pPr>
    </w:p>
    <w:sectPr w:rsidR="004371A6" w:rsidSect="000D1E34">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361"/>
    <w:multiLevelType w:val="hybridMultilevel"/>
    <w:tmpl w:val="75ACBE24"/>
    <w:lvl w:ilvl="0" w:tplc="982406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1F0A"/>
    <w:multiLevelType w:val="hybridMultilevel"/>
    <w:tmpl w:val="F0B4E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10897"/>
    <w:multiLevelType w:val="multilevel"/>
    <w:tmpl w:val="5DD66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B07230E"/>
    <w:multiLevelType w:val="hybridMultilevel"/>
    <w:tmpl w:val="C87823C0"/>
    <w:lvl w:ilvl="0" w:tplc="481A9F1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801F6"/>
    <w:multiLevelType w:val="hybridMultilevel"/>
    <w:tmpl w:val="0DF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50E42"/>
    <w:multiLevelType w:val="hybridMultilevel"/>
    <w:tmpl w:val="3828C2E0"/>
    <w:lvl w:ilvl="0" w:tplc="42A072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413C0"/>
    <w:multiLevelType w:val="hybridMultilevel"/>
    <w:tmpl w:val="5248F836"/>
    <w:lvl w:ilvl="0" w:tplc="AB9CF8D2">
      <w:start w:val="7"/>
      <w:numFmt w:val="bullet"/>
      <w:lvlText w:val=""/>
      <w:lvlJc w:val="left"/>
      <w:pPr>
        <w:ind w:left="1080" w:hanging="360"/>
      </w:pPr>
      <w:rPr>
        <w:rFonts w:ascii="Symbol" w:eastAsia="Times New Roman" w:hAnsi="Symbol" w:cs="Calibri" w:hint="default"/>
        <w:color w:val="09142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BD4CED"/>
    <w:multiLevelType w:val="hybridMultilevel"/>
    <w:tmpl w:val="D80A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3009"/>
    <w:multiLevelType w:val="hybridMultilevel"/>
    <w:tmpl w:val="1CE61B2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B7874"/>
    <w:multiLevelType w:val="hybridMultilevel"/>
    <w:tmpl w:val="14C8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22569"/>
    <w:multiLevelType w:val="hybridMultilevel"/>
    <w:tmpl w:val="C290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315FD"/>
    <w:multiLevelType w:val="hybridMultilevel"/>
    <w:tmpl w:val="9B7692BC"/>
    <w:lvl w:ilvl="0" w:tplc="7E0E4A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96D46"/>
    <w:multiLevelType w:val="hybridMultilevel"/>
    <w:tmpl w:val="4D6C9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65E9D"/>
    <w:multiLevelType w:val="hybridMultilevel"/>
    <w:tmpl w:val="0A86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E43E4"/>
    <w:multiLevelType w:val="hybridMultilevel"/>
    <w:tmpl w:val="0B4A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176934">
    <w:abstractNumId w:val="5"/>
  </w:num>
  <w:num w:numId="2" w16cid:durableId="1101992330">
    <w:abstractNumId w:val="2"/>
  </w:num>
  <w:num w:numId="3" w16cid:durableId="596443812">
    <w:abstractNumId w:val="14"/>
  </w:num>
  <w:num w:numId="4" w16cid:durableId="1776439463">
    <w:abstractNumId w:val="1"/>
  </w:num>
  <w:num w:numId="5" w16cid:durableId="59865394">
    <w:abstractNumId w:val="15"/>
  </w:num>
  <w:num w:numId="6" w16cid:durableId="1331134164">
    <w:abstractNumId w:val="8"/>
  </w:num>
  <w:num w:numId="7" w16cid:durableId="1826042560">
    <w:abstractNumId w:val="4"/>
  </w:num>
  <w:num w:numId="8" w16cid:durableId="476455728">
    <w:abstractNumId w:val="7"/>
  </w:num>
  <w:num w:numId="9" w16cid:durableId="1429305811">
    <w:abstractNumId w:val="0"/>
  </w:num>
  <w:num w:numId="10" w16cid:durableId="1006247364">
    <w:abstractNumId w:val="6"/>
  </w:num>
  <w:num w:numId="11" w16cid:durableId="829909846">
    <w:abstractNumId w:val="9"/>
  </w:num>
  <w:num w:numId="12" w16cid:durableId="2093038878">
    <w:abstractNumId w:val="12"/>
  </w:num>
  <w:num w:numId="13" w16cid:durableId="1342507747">
    <w:abstractNumId w:val="13"/>
  </w:num>
  <w:num w:numId="14" w16cid:durableId="540165033">
    <w:abstractNumId w:val="10"/>
  </w:num>
  <w:num w:numId="15" w16cid:durableId="649791250">
    <w:abstractNumId w:val="11"/>
  </w:num>
  <w:num w:numId="16" w16cid:durableId="861627403">
    <w:abstractNumId w:val="16"/>
  </w:num>
  <w:num w:numId="17" w16cid:durableId="462580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3B"/>
    <w:rsid w:val="00006CEB"/>
    <w:rsid w:val="00034D70"/>
    <w:rsid w:val="00074824"/>
    <w:rsid w:val="000939B7"/>
    <w:rsid w:val="000E52A4"/>
    <w:rsid w:val="00161D1F"/>
    <w:rsid w:val="00180A40"/>
    <w:rsid w:val="001B1793"/>
    <w:rsid w:val="001D74CB"/>
    <w:rsid w:val="001E103B"/>
    <w:rsid w:val="00227BFB"/>
    <w:rsid w:val="002572E9"/>
    <w:rsid w:val="00271495"/>
    <w:rsid w:val="0036526D"/>
    <w:rsid w:val="00371668"/>
    <w:rsid w:val="004371A6"/>
    <w:rsid w:val="00470B54"/>
    <w:rsid w:val="00486FA7"/>
    <w:rsid w:val="004E4381"/>
    <w:rsid w:val="005836C6"/>
    <w:rsid w:val="007528C3"/>
    <w:rsid w:val="007B4ABA"/>
    <w:rsid w:val="00801290"/>
    <w:rsid w:val="008B695B"/>
    <w:rsid w:val="008E063E"/>
    <w:rsid w:val="008E6813"/>
    <w:rsid w:val="0092785D"/>
    <w:rsid w:val="009310D3"/>
    <w:rsid w:val="00943EF9"/>
    <w:rsid w:val="00962733"/>
    <w:rsid w:val="009E397A"/>
    <w:rsid w:val="009F2961"/>
    <w:rsid w:val="00A077C9"/>
    <w:rsid w:val="00AD49BF"/>
    <w:rsid w:val="00AE6FB8"/>
    <w:rsid w:val="00AF029D"/>
    <w:rsid w:val="00B26A46"/>
    <w:rsid w:val="00B5381E"/>
    <w:rsid w:val="00C31071"/>
    <w:rsid w:val="00C40D02"/>
    <w:rsid w:val="00C6382A"/>
    <w:rsid w:val="00CC4EF6"/>
    <w:rsid w:val="00D01A86"/>
    <w:rsid w:val="00D27540"/>
    <w:rsid w:val="00D515EE"/>
    <w:rsid w:val="00D623C9"/>
    <w:rsid w:val="00D67E25"/>
    <w:rsid w:val="00D9528E"/>
    <w:rsid w:val="00DD0E28"/>
    <w:rsid w:val="00E32540"/>
    <w:rsid w:val="00E86633"/>
    <w:rsid w:val="00E927C1"/>
    <w:rsid w:val="00ED5925"/>
    <w:rsid w:val="00F549A3"/>
    <w:rsid w:val="00FA6913"/>
    <w:rsid w:val="00FB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2CA7"/>
  <w15:chartTrackingRefBased/>
  <w15:docId w15:val="{2BE8C77E-F57D-574B-A2F9-EAA85D6E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0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3B"/>
    <w:pPr>
      <w:ind w:left="720"/>
      <w:contextualSpacing/>
    </w:pPr>
  </w:style>
  <w:style w:type="character" w:styleId="CommentReference">
    <w:name w:val="annotation reference"/>
    <w:basedOn w:val="DefaultParagraphFont"/>
    <w:uiPriority w:val="99"/>
    <w:semiHidden/>
    <w:unhideWhenUsed/>
    <w:rsid w:val="002572E9"/>
    <w:rPr>
      <w:sz w:val="18"/>
      <w:szCs w:val="18"/>
    </w:rPr>
  </w:style>
  <w:style w:type="paragraph" w:styleId="CommentText">
    <w:name w:val="annotation text"/>
    <w:basedOn w:val="Normal"/>
    <w:link w:val="CommentTextChar"/>
    <w:uiPriority w:val="99"/>
    <w:unhideWhenUsed/>
    <w:rsid w:val="002572E9"/>
    <w:pPr>
      <w:spacing w:line="240" w:lineRule="auto"/>
    </w:pPr>
    <w:rPr>
      <w:sz w:val="24"/>
      <w:szCs w:val="24"/>
    </w:rPr>
  </w:style>
  <w:style w:type="character" w:customStyle="1" w:styleId="CommentTextChar">
    <w:name w:val="Comment Text Char"/>
    <w:basedOn w:val="DefaultParagraphFont"/>
    <w:link w:val="CommentText"/>
    <w:uiPriority w:val="99"/>
    <w:rsid w:val="002572E9"/>
  </w:style>
  <w:style w:type="paragraph" w:styleId="CommentSubject">
    <w:name w:val="annotation subject"/>
    <w:basedOn w:val="CommentText"/>
    <w:next w:val="CommentText"/>
    <w:link w:val="CommentSubjectChar"/>
    <w:uiPriority w:val="99"/>
    <w:semiHidden/>
    <w:unhideWhenUsed/>
    <w:rsid w:val="002572E9"/>
    <w:rPr>
      <w:b/>
      <w:bCs/>
      <w:sz w:val="20"/>
      <w:szCs w:val="20"/>
    </w:rPr>
  </w:style>
  <w:style w:type="character" w:customStyle="1" w:styleId="CommentSubjectChar">
    <w:name w:val="Comment Subject Char"/>
    <w:basedOn w:val="CommentTextChar"/>
    <w:link w:val="CommentSubject"/>
    <w:uiPriority w:val="99"/>
    <w:semiHidden/>
    <w:rsid w:val="002572E9"/>
    <w:rPr>
      <w:b/>
      <w:bCs/>
      <w:sz w:val="20"/>
      <w:szCs w:val="20"/>
    </w:rPr>
  </w:style>
  <w:style w:type="paragraph" w:styleId="BalloonText">
    <w:name w:val="Balloon Text"/>
    <w:basedOn w:val="Normal"/>
    <w:link w:val="BalloonTextChar"/>
    <w:uiPriority w:val="99"/>
    <w:semiHidden/>
    <w:unhideWhenUsed/>
    <w:rsid w:val="002572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2E9"/>
    <w:rPr>
      <w:rFonts w:ascii="Times New Roman" w:hAnsi="Times New Roman" w:cs="Times New Roman"/>
      <w:sz w:val="18"/>
      <w:szCs w:val="18"/>
    </w:rPr>
  </w:style>
  <w:style w:type="paragraph" w:styleId="NormalWeb">
    <w:name w:val="Normal (Web)"/>
    <w:basedOn w:val="Normal"/>
    <w:uiPriority w:val="99"/>
    <w:semiHidden/>
    <w:unhideWhenUsed/>
    <w:rsid w:val="00D952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N Zarling</dc:creator>
  <cp:keywords/>
  <dc:description/>
  <cp:lastModifiedBy>Yilin Zhang</cp:lastModifiedBy>
  <cp:revision>3</cp:revision>
  <dcterms:created xsi:type="dcterms:W3CDTF">2022-04-22T01:40:00Z</dcterms:created>
  <dcterms:modified xsi:type="dcterms:W3CDTF">2022-04-22T01:41:00Z</dcterms:modified>
</cp:coreProperties>
</file>