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50B7" w14:textId="42151A00" w:rsidR="00BE73DA" w:rsidRPr="00C27C65" w:rsidRDefault="00BE73DA" w:rsidP="00BE73DA">
      <w:pPr>
        <w:spacing w:after="0" w:line="240" w:lineRule="auto"/>
        <w:contextualSpacing/>
        <w:rPr>
          <w:rFonts w:eastAsia="Times New Roman" w:cstheme="minorHAnsi"/>
          <w:b/>
          <w:bCs/>
          <w:color w:val="000000" w:themeColor="text1"/>
        </w:rPr>
      </w:pPr>
      <w:r w:rsidRPr="00C27C65">
        <w:rPr>
          <w:rFonts w:eastAsia="Times New Roman" w:cstheme="minorHAnsi"/>
          <w:b/>
          <w:bCs/>
          <w:color w:val="000000" w:themeColor="text1"/>
        </w:rPr>
        <w:t>Author</w:t>
      </w:r>
      <w:r w:rsidR="00814715" w:rsidRPr="00C27C65">
        <w:rPr>
          <w:rFonts w:eastAsia="Times New Roman" w:cstheme="minorHAnsi"/>
          <w:b/>
          <w:bCs/>
          <w:color w:val="000000" w:themeColor="text1"/>
        </w:rPr>
        <w:t xml:space="preserve">: </w:t>
      </w:r>
      <w:r w:rsidR="007F3419" w:rsidRPr="00C27C65">
        <w:rPr>
          <w:rFonts w:eastAsia="Times New Roman" w:cstheme="minorHAnsi"/>
          <w:color w:val="000000" w:themeColor="text1"/>
        </w:rPr>
        <w:t xml:space="preserve">Stephanie </w:t>
      </w:r>
      <w:proofErr w:type="spellStart"/>
      <w:r w:rsidR="007F3419" w:rsidRPr="00C27C65">
        <w:rPr>
          <w:rFonts w:eastAsia="Times New Roman" w:cstheme="minorHAnsi"/>
          <w:color w:val="000000" w:themeColor="text1"/>
        </w:rPr>
        <w:t>Lakritz</w:t>
      </w:r>
      <w:proofErr w:type="spellEnd"/>
      <w:r w:rsidR="00C27C65" w:rsidRPr="00C27C65">
        <w:rPr>
          <w:rFonts w:eastAsia="Times New Roman" w:cstheme="minorHAnsi"/>
          <w:color w:val="000000" w:themeColor="text1"/>
        </w:rPr>
        <w:t>, Christopher Geiger, Brandon McMahon</w:t>
      </w:r>
    </w:p>
    <w:p w14:paraId="39C250B8" w14:textId="1C9AE1BB" w:rsidR="00BE73DA" w:rsidRPr="00C27C65" w:rsidRDefault="00C27C65" w:rsidP="00BE73DA">
      <w:pPr>
        <w:spacing w:after="0" w:line="240" w:lineRule="auto"/>
        <w:contextualSpacing/>
        <w:rPr>
          <w:rFonts w:eastAsia="Times New Roman" w:cstheme="minorHAnsi"/>
          <w:color w:val="000000" w:themeColor="text1"/>
        </w:rPr>
      </w:pPr>
      <w:r w:rsidRPr="00C27C65">
        <w:rPr>
          <w:rFonts w:eastAsia="Times New Roman" w:cstheme="minorHAnsi"/>
          <w:b/>
          <w:bCs/>
          <w:color w:val="000000" w:themeColor="text1"/>
        </w:rPr>
        <w:t>Section editor</w:t>
      </w:r>
      <w:r w:rsidR="00345106" w:rsidRPr="00C27C65">
        <w:rPr>
          <w:rFonts w:eastAsia="Times New Roman" w:cstheme="minorHAnsi"/>
          <w:b/>
          <w:bCs/>
          <w:color w:val="000000" w:themeColor="text1"/>
        </w:rPr>
        <w:t>:</w:t>
      </w:r>
      <w:r w:rsidRPr="00C27C65">
        <w:rPr>
          <w:rFonts w:eastAsia="Times New Roman" w:cstheme="minorHAnsi"/>
          <w:b/>
          <w:bCs/>
          <w:color w:val="000000" w:themeColor="text1"/>
        </w:rPr>
        <w:t xml:space="preserve"> </w:t>
      </w:r>
      <w:r w:rsidRPr="00C27C65">
        <w:rPr>
          <w:rFonts w:eastAsia="Times New Roman" w:cstheme="minorHAnsi"/>
          <w:color w:val="000000" w:themeColor="text1"/>
        </w:rPr>
        <w:t>Christopher Geiger</w:t>
      </w:r>
    </w:p>
    <w:p w14:paraId="554998D1" w14:textId="41A69E88" w:rsidR="00C27C65" w:rsidRPr="00C27C65" w:rsidRDefault="00C27C65" w:rsidP="00BE73DA">
      <w:pPr>
        <w:spacing w:after="0" w:line="240" w:lineRule="auto"/>
        <w:contextualSpacing/>
        <w:rPr>
          <w:rFonts w:eastAsia="Times New Roman" w:cstheme="minorHAnsi"/>
          <w:color w:val="000000" w:themeColor="text1"/>
        </w:rPr>
      </w:pPr>
      <w:r w:rsidRPr="00FA68C5">
        <w:rPr>
          <w:rFonts w:eastAsia="Times New Roman" w:cstheme="minorHAnsi"/>
          <w:b/>
          <w:bCs/>
          <w:color w:val="000000" w:themeColor="text1"/>
        </w:rPr>
        <w:t>Executive editor:</w:t>
      </w:r>
      <w:r w:rsidRPr="00C27C65">
        <w:rPr>
          <w:rFonts w:eastAsia="Times New Roman" w:cstheme="minorHAnsi"/>
          <w:color w:val="000000" w:themeColor="text1"/>
        </w:rPr>
        <w:t xml:space="preserve"> Yilin Zhang </w:t>
      </w:r>
    </w:p>
    <w:p w14:paraId="22055C3B" w14:textId="77777777" w:rsidR="007F3419" w:rsidRPr="00C27C65" w:rsidRDefault="007F3419" w:rsidP="00BE73DA">
      <w:pPr>
        <w:spacing w:after="0" w:line="240" w:lineRule="auto"/>
        <w:contextualSpacing/>
        <w:rPr>
          <w:rFonts w:eastAsia="Times New Roman" w:cstheme="minorHAnsi"/>
          <w:b/>
          <w:bCs/>
          <w:color w:val="000000" w:themeColor="text1"/>
        </w:rPr>
      </w:pPr>
    </w:p>
    <w:p w14:paraId="39C250B9" w14:textId="7B7FF80A" w:rsidR="00BE73DA" w:rsidRPr="00C27C65" w:rsidRDefault="00BE73DA" w:rsidP="00BE73DA">
      <w:pPr>
        <w:spacing w:after="0" w:line="240" w:lineRule="auto"/>
        <w:contextualSpacing/>
        <w:outlineLvl w:val="1"/>
        <w:rPr>
          <w:rFonts w:eastAsia="Times New Roman" w:cstheme="minorHAnsi"/>
          <w:color w:val="000000" w:themeColor="text1"/>
        </w:rPr>
      </w:pPr>
      <w:r w:rsidRPr="00C27C65">
        <w:rPr>
          <w:rFonts w:eastAsia="Times New Roman" w:cstheme="minorHAnsi"/>
          <w:b/>
          <w:bCs/>
          <w:color w:val="000000" w:themeColor="text1"/>
        </w:rPr>
        <w:t>Objectives</w:t>
      </w:r>
      <w:r w:rsidRPr="00C27C65">
        <w:rPr>
          <w:rFonts w:eastAsia="Times New Roman" w:cstheme="minorHAnsi"/>
          <w:color w:val="000000" w:themeColor="text1"/>
        </w:rPr>
        <w:t xml:space="preserve"> </w:t>
      </w:r>
    </w:p>
    <w:p w14:paraId="39C250BA" w14:textId="3806A45A" w:rsidR="00BE73DA" w:rsidRPr="00C27C65" w:rsidRDefault="006C0973" w:rsidP="00307A15">
      <w:pPr>
        <w:pStyle w:val="ListParagraph"/>
        <w:numPr>
          <w:ilvl w:val="0"/>
          <w:numId w:val="7"/>
        </w:numPr>
        <w:spacing w:after="0" w:line="240" w:lineRule="auto"/>
        <w:outlineLvl w:val="1"/>
        <w:rPr>
          <w:rFonts w:eastAsia="Times New Roman" w:cstheme="minorHAnsi"/>
          <w:color w:val="000000" w:themeColor="text1"/>
        </w:rPr>
      </w:pPr>
      <w:r w:rsidRPr="00C27C65">
        <w:rPr>
          <w:rFonts w:eastAsia="Times New Roman" w:cstheme="minorHAnsi"/>
          <w:color w:val="000000" w:themeColor="text1"/>
        </w:rPr>
        <w:t>Diagnose</w:t>
      </w:r>
      <w:r w:rsidR="007E337E" w:rsidRPr="00C27C65">
        <w:rPr>
          <w:rFonts w:eastAsia="Times New Roman" w:cstheme="minorHAnsi"/>
          <w:color w:val="000000" w:themeColor="text1"/>
        </w:rPr>
        <w:t xml:space="preserve"> the </w:t>
      </w:r>
      <w:r w:rsidR="007F3419" w:rsidRPr="00C27C65">
        <w:rPr>
          <w:rFonts w:eastAsia="Times New Roman" w:cstheme="minorHAnsi"/>
          <w:color w:val="000000" w:themeColor="text1"/>
        </w:rPr>
        <w:t>four most common myeloproliferative disorders</w:t>
      </w:r>
    </w:p>
    <w:p w14:paraId="326D02CB" w14:textId="7FD62A28" w:rsidR="007F3419" w:rsidRPr="00C27C65" w:rsidRDefault="007F3419" w:rsidP="00307A15">
      <w:pPr>
        <w:pStyle w:val="ListParagraph"/>
        <w:numPr>
          <w:ilvl w:val="0"/>
          <w:numId w:val="7"/>
        </w:numPr>
        <w:spacing w:after="0" w:line="240" w:lineRule="auto"/>
        <w:outlineLvl w:val="1"/>
        <w:rPr>
          <w:rFonts w:eastAsia="Times New Roman" w:cstheme="minorHAnsi"/>
          <w:color w:val="000000" w:themeColor="text1"/>
        </w:rPr>
      </w:pPr>
      <w:r w:rsidRPr="00C27C65">
        <w:rPr>
          <w:rFonts w:eastAsia="Times New Roman" w:cstheme="minorHAnsi"/>
          <w:color w:val="000000" w:themeColor="text1"/>
        </w:rPr>
        <w:t xml:space="preserve">Develop a framework and differential for </w:t>
      </w:r>
      <w:r w:rsidR="00FA68C5">
        <w:rPr>
          <w:rFonts w:eastAsia="Times New Roman" w:cstheme="minorHAnsi"/>
          <w:color w:val="000000" w:themeColor="text1"/>
        </w:rPr>
        <w:t>erythrocytosis</w:t>
      </w:r>
      <w:r w:rsidRPr="00C27C65">
        <w:rPr>
          <w:rFonts w:eastAsia="Times New Roman" w:cstheme="minorHAnsi"/>
          <w:color w:val="000000" w:themeColor="text1"/>
        </w:rPr>
        <w:t>, leukocytosis, and thrombocytosis</w:t>
      </w:r>
    </w:p>
    <w:p w14:paraId="1B3F3674" w14:textId="0BD5F654" w:rsidR="007F3419" w:rsidRPr="00C27C65" w:rsidRDefault="007F3419" w:rsidP="00307A15">
      <w:pPr>
        <w:pStyle w:val="ListParagraph"/>
        <w:numPr>
          <w:ilvl w:val="0"/>
          <w:numId w:val="7"/>
        </w:numPr>
        <w:spacing w:after="0" w:line="240" w:lineRule="auto"/>
        <w:outlineLvl w:val="1"/>
        <w:rPr>
          <w:rFonts w:eastAsia="Times New Roman" w:cstheme="minorHAnsi"/>
          <w:color w:val="000000" w:themeColor="text1"/>
        </w:rPr>
      </w:pPr>
      <w:r w:rsidRPr="00C27C65">
        <w:rPr>
          <w:rFonts w:eastAsia="Times New Roman" w:cstheme="minorHAnsi"/>
          <w:color w:val="000000" w:themeColor="text1"/>
        </w:rPr>
        <w:t>Describe the basic principl</w:t>
      </w:r>
      <w:r w:rsidR="004E2117" w:rsidRPr="00C27C65">
        <w:rPr>
          <w:rFonts w:eastAsia="Times New Roman" w:cstheme="minorHAnsi"/>
          <w:color w:val="000000" w:themeColor="text1"/>
        </w:rPr>
        <w:t>e</w:t>
      </w:r>
      <w:r w:rsidRPr="00C27C65">
        <w:rPr>
          <w:rFonts w:eastAsia="Times New Roman" w:cstheme="minorHAnsi"/>
          <w:color w:val="000000" w:themeColor="text1"/>
        </w:rPr>
        <w:t>s of treating myeloproliferative disorders</w:t>
      </w:r>
    </w:p>
    <w:p w14:paraId="39C250BB" w14:textId="77777777" w:rsidR="00307A15" w:rsidRPr="00C27C65" w:rsidRDefault="00307A15" w:rsidP="00307A15">
      <w:pPr>
        <w:spacing w:after="0" w:line="240" w:lineRule="auto"/>
        <w:outlineLvl w:val="1"/>
        <w:rPr>
          <w:rFonts w:eastAsia="Times New Roman" w:cstheme="minorHAnsi"/>
          <w:color w:val="000000" w:themeColor="text1"/>
        </w:rPr>
      </w:pPr>
    </w:p>
    <w:p w14:paraId="39C250BE" w14:textId="2EECE9DC" w:rsidR="00B36601" w:rsidRPr="00C27C65" w:rsidRDefault="00BE73DA" w:rsidP="007E337E">
      <w:pPr>
        <w:spacing w:after="0" w:line="240" w:lineRule="auto"/>
        <w:contextualSpacing/>
        <w:rPr>
          <w:rFonts w:eastAsia="Times New Roman" w:cstheme="minorHAnsi"/>
          <w:color w:val="000000" w:themeColor="text1"/>
        </w:rPr>
      </w:pPr>
      <w:r w:rsidRPr="00C27C65">
        <w:rPr>
          <w:rFonts w:eastAsia="Times New Roman" w:cstheme="minorHAnsi"/>
          <w:b/>
          <w:bCs/>
          <w:color w:val="000000" w:themeColor="text1"/>
        </w:rPr>
        <w:t>Teaching Instructions</w:t>
      </w:r>
      <w:r w:rsidR="009C19DC" w:rsidRPr="00C27C65">
        <w:rPr>
          <w:rFonts w:eastAsia="Times New Roman" w:cstheme="minorHAnsi"/>
          <w:b/>
          <w:bCs/>
          <w:color w:val="000000" w:themeColor="text1"/>
        </w:rPr>
        <w:t xml:space="preserve"> </w:t>
      </w:r>
    </w:p>
    <w:p w14:paraId="4EF1BFB3" w14:textId="7CDD0213" w:rsidR="007E337E" w:rsidRPr="00C27C65" w:rsidRDefault="007E337E" w:rsidP="007E337E">
      <w:pPr>
        <w:shd w:val="clear" w:color="auto" w:fill="FEFEFE"/>
        <w:spacing w:after="100" w:afterAutospacing="1" w:line="240" w:lineRule="auto"/>
        <w:rPr>
          <w:rFonts w:cstheme="minorHAnsi"/>
          <w:color w:val="000000" w:themeColor="text1"/>
          <w:spacing w:val="4"/>
        </w:rPr>
      </w:pPr>
      <w:r w:rsidRPr="00C27C65">
        <w:rPr>
          <w:rFonts w:cstheme="minorHAnsi"/>
          <w:color w:val="000000" w:themeColor="text1"/>
          <w:spacing w:val="4"/>
        </w:rPr>
        <w:t>Plan to spend at least 30-60 minutes preparing for this talk by using the Interactive Board and clicking through the graphics animations to become familiar with the flow and content of the talk. </w:t>
      </w:r>
      <w:r w:rsidR="00A90EF8">
        <w:rPr>
          <w:rFonts w:cstheme="minorHAnsi"/>
          <w:color w:val="000000" w:themeColor="text1"/>
          <w:spacing w:val="4"/>
        </w:rPr>
        <w:t xml:space="preserve">All clickable elements are denoted by a rounded shaded rectangle and mouse cursor. There are questions that serve as prompts to engage the audience. </w:t>
      </w:r>
    </w:p>
    <w:p w14:paraId="5B818C8D" w14:textId="77777777" w:rsidR="00423191" w:rsidRDefault="007E337E" w:rsidP="00423191">
      <w:pPr>
        <w:shd w:val="clear" w:color="auto" w:fill="FEFEFE"/>
        <w:spacing w:after="100" w:afterAutospacing="1" w:line="240" w:lineRule="auto"/>
        <w:rPr>
          <w:rFonts w:eastAsia="Times New Roman" w:cstheme="minorHAnsi"/>
          <w:b/>
          <w:bCs/>
          <w:color w:val="000000" w:themeColor="text1"/>
          <w:spacing w:val="4"/>
          <w:u w:val="single"/>
        </w:rPr>
      </w:pPr>
      <w:r w:rsidRPr="00C27C65">
        <w:rPr>
          <w:rFonts w:cstheme="minorHAnsi"/>
          <w:color w:val="000000" w:themeColor="text1"/>
          <w:spacing w:val="4"/>
        </w:rPr>
        <w:t>Begin with reviewing the objectives for the session. We recommend progressing in order, though this gives you the flexibility to deliver more focused teaching.</w:t>
      </w:r>
      <w:r w:rsidRPr="00C27C65">
        <w:rPr>
          <w:rFonts w:cstheme="minorHAnsi"/>
          <w:i/>
          <w:iCs/>
          <w:color w:val="000000" w:themeColor="text1"/>
          <w:spacing w:val="4"/>
        </w:rPr>
        <w:t> </w:t>
      </w:r>
      <w:r w:rsidRPr="00440503">
        <w:rPr>
          <w:rFonts w:cstheme="minorHAnsi"/>
          <w:color w:val="000000" w:themeColor="text1"/>
          <w:spacing w:val="4"/>
        </w:rPr>
        <w:t xml:space="preserve">The </w:t>
      </w:r>
      <w:r w:rsidR="00440503">
        <w:rPr>
          <w:rFonts w:cstheme="minorHAnsi"/>
          <w:color w:val="000000" w:themeColor="text1"/>
          <w:spacing w:val="4"/>
        </w:rPr>
        <w:t>anticipated time it will take to give the talk is</w:t>
      </w:r>
      <w:r w:rsidRPr="00440503">
        <w:rPr>
          <w:rFonts w:cstheme="minorHAnsi"/>
          <w:color w:val="000000" w:themeColor="text1"/>
          <w:spacing w:val="4"/>
        </w:rPr>
        <w:t xml:space="preserve"> </w:t>
      </w:r>
      <w:r w:rsidR="00440503">
        <w:rPr>
          <w:rFonts w:cstheme="minorHAnsi"/>
          <w:color w:val="000000" w:themeColor="text1"/>
          <w:spacing w:val="4"/>
        </w:rPr>
        <w:t>~</w:t>
      </w:r>
      <w:r w:rsidRPr="00440503">
        <w:rPr>
          <w:rFonts w:cstheme="minorHAnsi"/>
          <w:b/>
          <w:bCs/>
          <w:color w:val="000000" w:themeColor="text1"/>
          <w:spacing w:val="4"/>
        </w:rPr>
        <w:t>30-45 minutes</w:t>
      </w:r>
      <w:r w:rsidRPr="00440503">
        <w:rPr>
          <w:rFonts w:cstheme="minorHAnsi"/>
          <w:color w:val="000000" w:themeColor="text1"/>
          <w:spacing w:val="4"/>
        </w:rPr>
        <w:t xml:space="preserve"> to teach. </w:t>
      </w:r>
    </w:p>
    <w:p w14:paraId="4DC9FBE8" w14:textId="58D1E219" w:rsidR="00A90EF8" w:rsidRDefault="00423191" w:rsidP="00E86C1B">
      <w:pPr>
        <w:shd w:val="clear" w:color="auto" w:fill="FEFEFE"/>
        <w:spacing w:after="100" w:afterAutospacing="1" w:line="240" w:lineRule="auto"/>
        <w:rPr>
          <w:rFonts w:eastAsia="Times New Roman" w:cstheme="minorHAnsi"/>
          <w:color w:val="000000" w:themeColor="text1"/>
          <w:spacing w:val="4"/>
        </w:rPr>
      </w:pPr>
      <w:r>
        <w:rPr>
          <w:rFonts w:eastAsia="Times New Roman" w:cstheme="minorHAnsi"/>
          <w:b/>
          <w:bCs/>
          <w:color w:val="000000" w:themeColor="text1"/>
          <w:spacing w:val="4"/>
          <w:u w:val="single"/>
        </w:rPr>
        <w:t>Overview</w:t>
      </w:r>
      <w:r>
        <w:rPr>
          <w:rFonts w:eastAsia="Times New Roman" w:cstheme="minorHAnsi"/>
          <w:b/>
          <w:bCs/>
          <w:color w:val="000000" w:themeColor="text1"/>
          <w:spacing w:val="4"/>
          <w:u w:val="single"/>
        </w:rPr>
        <w:br/>
      </w:r>
      <w:r w:rsidRPr="00A90EF8">
        <w:rPr>
          <w:rFonts w:eastAsia="Times New Roman" w:cstheme="minorHAnsi"/>
          <w:i/>
          <w:iCs/>
          <w:color w:val="000000" w:themeColor="text1"/>
          <w:spacing w:val="4"/>
        </w:rPr>
        <w:t xml:space="preserve">Ask your learners </w:t>
      </w:r>
      <w:r w:rsidR="00A90EF8" w:rsidRPr="00A90EF8">
        <w:rPr>
          <w:rFonts w:eastAsia="Times New Roman" w:cstheme="minorHAnsi"/>
          <w:i/>
          <w:iCs/>
          <w:color w:val="000000" w:themeColor="text1"/>
          <w:spacing w:val="4"/>
        </w:rPr>
        <w:t xml:space="preserve">“What is </w:t>
      </w:r>
      <w:proofErr w:type="gramStart"/>
      <w:r w:rsidR="00A90EF8" w:rsidRPr="00A90EF8">
        <w:rPr>
          <w:rFonts w:eastAsia="Times New Roman" w:cstheme="minorHAnsi"/>
          <w:i/>
          <w:iCs/>
          <w:color w:val="000000" w:themeColor="text1"/>
          <w:spacing w:val="4"/>
        </w:rPr>
        <w:t>a</w:t>
      </w:r>
      <w:proofErr w:type="gramEnd"/>
      <w:r w:rsidR="00A90EF8" w:rsidRPr="00A90EF8">
        <w:rPr>
          <w:rFonts w:eastAsia="Times New Roman" w:cstheme="minorHAnsi"/>
          <w:i/>
          <w:iCs/>
          <w:color w:val="000000" w:themeColor="text1"/>
          <w:spacing w:val="4"/>
        </w:rPr>
        <w:t xml:space="preserve"> MPN?” and click to reveal the answer.</w:t>
      </w:r>
      <w:r>
        <w:rPr>
          <w:rFonts w:eastAsia="Times New Roman" w:cstheme="minorHAnsi"/>
          <w:i/>
          <w:iCs/>
          <w:color w:val="000000" w:themeColor="text1"/>
          <w:spacing w:val="4"/>
        </w:rPr>
        <w:t xml:space="preserve"> </w:t>
      </w:r>
      <w:r w:rsidR="00A90EF8" w:rsidRPr="00C27C65">
        <w:rPr>
          <w:rFonts w:eastAsia="Times New Roman" w:cstheme="minorHAnsi"/>
          <w:color w:val="000000" w:themeColor="text1"/>
          <w:spacing w:val="4"/>
        </w:rPr>
        <w:t xml:space="preserve">Hematologic malignancies are differentiated into myeloid and lymphoid neoplasms. </w:t>
      </w:r>
      <w:r w:rsidR="007E337E" w:rsidRPr="00C27C65">
        <w:rPr>
          <w:rFonts w:eastAsia="Times New Roman" w:cstheme="minorHAnsi"/>
          <w:color w:val="000000" w:themeColor="text1"/>
          <w:spacing w:val="4"/>
        </w:rPr>
        <w:t>A</w:t>
      </w:r>
      <w:r w:rsidR="008C6C1F" w:rsidRPr="00C27C65">
        <w:rPr>
          <w:rFonts w:eastAsia="Times New Roman" w:cstheme="minorHAnsi"/>
          <w:color w:val="000000" w:themeColor="text1"/>
          <w:spacing w:val="4"/>
        </w:rPr>
        <w:t xml:space="preserve"> subset of hematologic malignancies includes</w:t>
      </w:r>
      <w:r w:rsidR="007E337E" w:rsidRPr="00C27C65">
        <w:rPr>
          <w:rFonts w:eastAsia="Times New Roman" w:cstheme="minorHAnsi"/>
          <w:color w:val="000000" w:themeColor="text1"/>
          <w:spacing w:val="4"/>
        </w:rPr>
        <w:t xml:space="preserve"> </w:t>
      </w:r>
      <w:r w:rsidR="007E337E" w:rsidRPr="00C27C65">
        <w:rPr>
          <w:rFonts w:eastAsia="Times New Roman" w:cstheme="minorHAnsi"/>
          <w:b/>
          <w:bCs/>
          <w:color w:val="000000" w:themeColor="text1"/>
          <w:spacing w:val="4"/>
        </w:rPr>
        <w:t>myeloproliferative disorder</w:t>
      </w:r>
      <w:r w:rsidR="008C6C1F" w:rsidRPr="00C27C65">
        <w:rPr>
          <w:rFonts w:eastAsia="Times New Roman" w:cstheme="minorHAnsi"/>
          <w:b/>
          <w:bCs/>
          <w:color w:val="000000" w:themeColor="text1"/>
          <w:spacing w:val="4"/>
        </w:rPr>
        <w:t>s</w:t>
      </w:r>
      <w:r w:rsidR="007E337E" w:rsidRPr="00C27C65">
        <w:rPr>
          <w:rFonts w:eastAsia="Times New Roman" w:cstheme="minorHAnsi"/>
          <w:color w:val="000000" w:themeColor="text1"/>
          <w:spacing w:val="4"/>
        </w:rPr>
        <w:t xml:space="preserve"> </w:t>
      </w:r>
      <w:r w:rsidR="008C6C1F" w:rsidRPr="00C27C65">
        <w:rPr>
          <w:rFonts w:eastAsia="Times New Roman" w:cstheme="minorHAnsi"/>
          <w:color w:val="000000" w:themeColor="text1"/>
          <w:spacing w:val="4"/>
        </w:rPr>
        <w:t>which are</w:t>
      </w:r>
      <w:r w:rsidR="007E337E" w:rsidRPr="00C27C65">
        <w:rPr>
          <w:rFonts w:eastAsia="Times New Roman" w:cstheme="minorHAnsi"/>
          <w:color w:val="000000" w:themeColor="text1"/>
          <w:spacing w:val="4"/>
        </w:rPr>
        <w:t xml:space="preserve"> disease</w:t>
      </w:r>
      <w:r w:rsidR="008C6C1F" w:rsidRPr="00C27C65">
        <w:rPr>
          <w:rFonts w:eastAsia="Times New Roman" w:cstheme="minorHAnsi"/>
          <w:color w:val="000000" w:themeColor="text1"/>
          <w:spacing w:val="4"/>
        </w:rPr>
        <w:t>s</w:t>
      </w:r>
      <w:r w:rsidR="007E337E" w:rsidRPr="00C27C65">
        <w:rPr>
          <w:rFonts w:eastAsia="Times New Roman" w:cstheme="minorHAnsi"/>
          <w:color w:val="000000" w:themeColor="text1"/>
          <w:spacing w:val="4"/>
        </w:rPr>
        <w:t xml:space="preserve"> of the </w:t>
      </w:r>
      <w:r w:rsidR="00A03BB6" w:rsidRPr="00C27C65">
        <w:rPr>
          <w:rFonts w:eastAsia="Times New Roman" w:cstheme="minorHAnsi"/>
          <w:color w:val="000000" w:themeColor="text1"/>
          <w:spacing w:val="4"/>
        </w:rPr>
        <w:t>hematopoietic</w:t>
      </w:r>
      <w:r w:rsidR="007E337E" w:rsidRPr="00C27C65">
        <w:rPr>
          <w:rFonts w:eastAsia="Times New Roman" w:cstheme="minorHAnsi"/>
          <w:color w:val="000000" w:themeColor="text1"/>
          <w:spacing w:val="4"/>
        </w:rPr>
        <w:t xml:space="preserve"> stem cell leading to the overproduction o</w:t>
      </w:r>
      <w:r w:rsidR="006C0973" w:rsidRPr="00C27C65">
        <w:rPr>
          <w:rFonts w:eastAsia="Times New Roman" w:cstheme="minorHAnsi"/>
          <w:color w:val="000000" w:themeColor="text1"/>
          <w:spacing w:val="4"/>
        </w:rPr>
        <w:t>f</w:t>
      </w:r>
      <w:r w:rsidR="007E337E" w:rsidRPr="00C27C65">
        <w:rPr>
          <w:rFonts w:eastAsia="Times New Roman" w:cstheme="minorHAnsi"/>
          <w:color w:val="000000" w:themeColor="text1"/>
          <w:spacing w:val="4"/>
        </w:rPr>
        <w:t xml:space="preserve"> </w:t>
      </w:r>
      <w:r w:rsidR="007E337E" w:rsidRPr="00C27C65">
        <w:rPr>
          <w:rFonts w:eastAsia="Times New Roman" w:cstheme="minorHAnsi"/>
          <w:i/>
          <w:color w:val="000000" w:themeColor="text1"/>
          <w:spacing w:val="4"/>
        </w:rPr>
        <w:t xml:space="preserve">mature </w:t>
      </w:r>
      <w:r w:rsidR="007E337E" w:rsidRPr="00C27C65">
        <w:rPr>
          <w:rFonts w:eastAsia="Times New Roman" w:cstheme="minorHAnsi"/>
          <w:color w:val="000000" w:themeColor="text1"/>
          <w:spacing w:val="4"/>
        </w:rPr>
        <w:t xml:space="preserve">cells. This differs from a myelodysplastic syndrome </w:t>
      </w:r>
      <w:r w:rsidR="004E2117" w:rsidRPr="00C27C65">
        <w:rPr>
          <w:rFonts w:eastAsia="Times New Roman" w:cstheme="minorHAnsi"/>
          <w:color w:val="000000" w:themeColor="text1"/>
          <w:spacing w:val="4"/>
        </w:rPr>
        <w:t>where there is a</w:t>
      </w:r>
      <w:r w:rsidR="007E337E" w:rsidRPr="00C27C65">
        <w:rPr>
          <w:rFonts w:eastAsia="Times New Roman" w:cstheme="minorHAnsi"/>
          <w:color w:val="000000" w:themeColor="text1"/>
          <w:spacing w:val="4"/>
        </w:rPr>
        <w:t xml:space="preserve"> disease of the hematopoietic stem cell leading to </w:t>
      </w:r>
      <w:r w:rsidR="007E337E" w:rsidRPr="00C27C65">
        <w:rPr>
          <w:rFonts w:eastAsia="Times New Roman" w:cstheme="minorHAnsi"/>
          <w:i/>
          <w:iCs/>
          <w:color w:val="000000" w:themeColor="text1"/>
          <w:spacing w:val="4"/>
        </w:rPr>
        <w:t>abnormal maturation</w:t>
      </w:r>
      <w:r w:rsidR="007E337E" w:rsidRPr="00C27C65">
        <w:rPr>
          <w:rFonts w:eastAsia="Times New Roman" w:cstheme="minorHAnsi"/>
          <w:color w:val="000000" w:themeColor="text1"/>
          <w:spacing w:val="4"/>
        </w:rPr>
        <w:t xml:space="preserve">. </w:t>
      </w:r>
    </w:p>
    <w:p w14:paraId="51D46141" w14:textId="319CD8D0" w:rsidR="007E337E" w:rsidRPr="00423191" w:rsidRDefault="007E337E" w:rsidP="00423191">
      <w:pPr>
        <w:shd w:val="clear" w:color="auto" w:fill="FEFEFE"/>
        <w:spacing w:after="100" w:afterAutospacing="1" w:line="240" w:lineRule="auto"/>
        <w:rPr>
          <w:rFonts w:eastAsia="Times New Roman" w:cstheme="minorHAnsi"/>
          <w:b/>
          <w:bCs/>
          <w:color w:val="000000" w:themeColor="text1"/>
          <w:spacing w:val="4"/>
          <w:u w:val="single"/>
        </w:rPr>
      </w:pPr>
      <w:r w:rsidRPr="00C27C65">
        <w:rPr>
          <w:rFonts w:eastAsia="Times New Roman" w:cstheme="minorHAnsi"/>
          <w:color w:val="000000" w:themeColor="text1"/>
          <w:spacing w:val="4"/>
        </w:rPr>
        <w:t xml:space="preserve">The flow chart reviews normal hematopoiesis. </w:t>
      </w:r>
      <w:r w:rsidR="00A90EF8" w:rsidRPr="00A90EF8">
        <w:rPr>
          <w:rFonts w:eastAsia="Times New Roman" w:cstheme="minorHAnsi"/>
          <w:i/>
          <w:iCs/>
          <w:color w:val="000000" w:themeColor="text1"/>
          <w:spacing w:val="4"/>
        </w:rPr>
        <w:t>Click on “what are the most common MPNs” to reveal the answer.</w:t>
      </w:r>
      <w:r w:rsidR="00A90EF8">
        <w:rPr>
          <w:rFonts w:eastAsia="Times New Roman" w:cstheme="minorHAnsi"/>
          <w:color w:val="000000" w:themeColor="text1"/>
          <w:spacing w:val="4"/>
        </w:rPr>
        <w:t xml:space="preserve"> </w:t>
      </w:r>
      <w:r w:rsidRPr="00C27C65">
        <w:rPr>
          <w:rFonts w:eastAsia="Times New Roman" w:cstheme="minorHAnsi"/>
          <w:color w:val="000000" w:themeColor="text1"/>
          <w:spacing w:val="4"/>
        </w:rPr>
        <w:t>Overproduction of thrombocytes (or platelets) leads to essential thrombocytosis</w:t>
      </w:r>
      <w:r w:rsidR="00A90EF8">
        <w:rPr>
          <w:rFonts w:eastAsia="Times New Roman" w:cstheme="minorHAnsi"/>
          <w:color w:val="000000" w:themeColor="text1"/>
          <w:spacing w:val="4"/>
        </w:rPr>
        <w:t xml:space="preserve"> (ET)</w:t>
      </w:r>
      <w:r w:rsidRPr="00C27C65">
        <w:rPr>
          <w:rFonts w:eastAsia="Times New Roman" w:cstheme="minorHAnsi"/>
          <w:color w:val="000000" w:themeColor="text1"/>
          <w:spacing w:val="4"/>
        </w:rPr>
        <w:t>. Overproduction of erythrocytes leads to polycythemia vera</w:t>
      </w:r>
      <w:r w:rsidR="00A90EF8">
        <w:rPr>
          <w:rFonts w:eastAsia="Times New Roman" w:cstheme="minorHAnsi"/>
          <w:color w:val="000000" w:themeColor="text1"/>
          <w:spacing w:val="4"/>
        </w:rPr>
        <w:t xml:space="preserve"> (PV)</w:t>
      </w:r>
      <w:r w:rsidR="003D4F80" w:rsidRPr="00C27C65">
        <w:rPr>
          <w:rFonts w:eastAsia="Times New Roman" w:cstheme="minorHAnsi"/>
          <w:color w:val="000000" w:themeColor="text1"/>
          <w:spacing w:val="4"/>
        </w:rPr>
        <w:t xml:space="preserve"> (this is</w:t>
      </w:r>
      <w:r w:rsidR="004E2117" w:rsidRPr="00C27C65">
        <w:rPr>
          <w:rFonts w:eastAsia="Times New Roman" w:cstheme="minorHAnsi"/>
          <w:color w:val="000000" w:themeColor="text1"/>
          <w:spacing w:val="4"/>
        </w:rPr>
        <w:t>,</w:t>
      </w:r>
      <w:r w:rsidR="003D4F80" w:rsidRPr="00C27C65">
        <w:rPr>
          <w:rFonts w:eastAsia="Times New Roman" w:cstheme="minorHAnsi"/>
          <w:color w:val="000000" w:themeColor="text1"/>
          <w:spacing w:val="4"/>
        </w:rPr>
        <w:t xml:space="preserve"> however, an oversimplification as leukocytosis and thrombocytosis are </w:t>
      </w:r>
      <w:r w:rsidR="008C6C1F" w:rsidRPr="00C27C65">
        <w:rPr>
          <w:rFonts w:eastAsia="Times New Roman" w:cstheme="minorHAnsi"/>
          <w:color w:val="000000" w:themeColor="text1"/>
          <w:spacing w:val="4"/>
        </w:rPr>
        <w:t>commonly seen as well</w:t>
      </w:r>
      <w:r w:rsidR="003D4F80" w:rsidRPr="00C27C65">
        <w:rPr>
          <w:rFonts w:eastAsia="Times New Roman" w:cstheme="minorHAnsi"/>
          <w:color w:val="000000" w:themeColor="text1"/>
          <w:spacing w:val="4"/>
        </w:rPr>
        <w:t>)</w:t>
      </w:r>
      <w:r w:rsidRPr="00C27C65">
        <w:rPr>
          <w:rFonts w:eastAsia="Times New Roman" w:cstheme="minorHAnsi"/>
          <w:color w:val="000000" w:themeColor="text1"/>
          <w:spacing w:val="4"/>
        </w:rPr>
        <w:t>. Overproduction of mature granulocytes leads to chronic myeloid leukemia</w:t>
      </w:r>
      <w:r w:rsidR="00A90EF8">
        <w:rPr>
          <w:rFonts w:eastAsia="Times New Roman" w:cstheme="minorHAnsi"/>
          <w:color w:val="000000" w:themeColor="text1"/>
          <w:spacing w:val="4"/>
        </w:rPr>
        <w:t xml:space="preserve"> (CML)</w:t>
      </w:r>
      <w:r w:rsidRPr="00C27C65">
        <w:rPr>
          <w:rFonts w:eastAsia="Times New Roman" w:cstheme="minorHAnsi"/>
          <w:color w:val="000000" w:themeColor="text1"/>
          <w:spacing w:val="4"/>
        </w:rPr>
        <w:t>. And finally, when the bone marrow is replaced by connective tissue, it can lead to primary myelofibrosis</w:t>
      </w:r>
      <w:r w:rsidR="00A90EF8">
        <w:rPr>
          <w:rFonts w:eastAsia="Times New Roman" w:cstheme="minorHAnsi"/>
          <w:color w:val="000000" w:themeColor="text1"/>
          <w:spacing w:val="4"/>
        </w:rPr>
        <w:t xml:space="preserve"> (PMF)</w:t>
      </w:r>
      <w:r w:rsidRPr="00C27C65">
        <w:rPr>
          <w:rFonts w:eastAsia="Times New Roman" w:cstheme="minorHAnsi"/>
          <w:color w:val="000000" w:themeColor="text1"/>
          <w:spacing w:val="4"/>
        </w:rPr>
        <w:t>.</w:t>
      </w:r>
      <w:r w:rsidR="00A90EF8">
        <w:rPr>
          <w:rFonts w:eastAsia="Times New Roman" w:cstheme="minorHAnsi"/>
          <w:color w:val="000000" w:themeColor="text1"/>
          <w:spacing w:val="4"/>
        </w:rPr>
        <w:t xml:space="preserve"> These are the 4 most common MPNs. </w:t>
      </w:r>
      <w:r w:rsidR="002A53A3" w:rsidRPr="00C27C65">
        <w:rPr>
          <w:rFonts w:eastAsia="Times New Roman" w:cstheme="minorHAnsi"/>
          <w:color w:val="000000" w:themeColor="text1"/>
          <w:spacing w:val="4"/>
        </w:rPr>
        <w:t xml:space="preserve">Each of the MPNs </w:t>
      </w:r>
      <w:r w:rsidR="004E2117" w:rsidRPr="00C27C65">
        <w:rPr>
          <w:rFonts w:eastAsia="Times New Roman" w:cstheme="minorHAnsi"/>
          <w:color w:val="000000" w:themeColor="text1"/>
          <w:spacing w:val="4"/>
        </w:rPr>
        <w:t>can</w:t>
      </w:r>
      <w:r w:rsidR="002A53A3" w:rsidRPr="00C27C65">
        <w:rPr>
          <w:rFonts w:eastAsia="Times New Roman" w:cstheme="minorHAnsi"/>
          <w:color w:val="000000" w:themeColor="text1"/>
          <w:spacing w:val="4"/>
        </w:rPr>
        <w:t xml:space="preserve"> transform into an aggressive form of bone marrow failure or acute leukemia. </w:t>
      </w:r>
      <w:r w:rsidR="00A90EF8">
        <w:rPr>
          <w:rFonts w:eastAsia="Times New Roman" w:cstheme="minorHAnsi"/>
          <w:color w:val="000000" w:themeColor="text1"/>
          <w:spacing w:val="4"/>
        </w:rPr>
        <w:t xml:space="preserve">ET, PV, PMF are often grouped together because they are associated with 3 </w:t>
      </w:r>
      <w:r w:rsidR="00826D4B">
        <w:rPr>
          <w:rFonts w:eastAsia="Times New Roman" w:cstheme="minorHAnsi"/>
          <w:color w:val="000000" w:themeColor="text1"/>
          <w:spacing w:val="4"/>
        </w:rPr>
        <w:t xml:space="preserve">common </w:t>
      </w:r>
      <w:r w:rsidR="00A90EF8">
        <w:rPr>
          <w:rFonts w:eastAsia="Times New Roman" w:cstheme="minorHAnsi"/>
          <w:color w:val="000000" w:themeColor="text1"/>
          <w:spacing w:val="4"/>
        </w:rPr>
        <w:t>driver mutations.</w:t>
      </w:r>
    </w:p>
    <w:p w14:paraId="1DD2DADD" w14:textId="77777777" w:rsidR="00D6785C" w:rsidRDefault="002A53A3" w:rsidP="00A90EF8">
      <w:pPr>
        <w:spacing w:after="0" w:line="240" w:lineRule="auto"/>
        <w:rPr>
          <w:rFonts w:eastAsia="Times New Roman" w:cstheme="minorHAnsi"/>
          <w:color w:val="000000" w:themeColor="text1"/>
        </w:rPr>
      </w:pPr>
      <w:r w:rsidRPr="00D6785C">
        <w:rPr>
          <w:rFonts w:eastAsia="Times New Roman" w:cstheme="minorHAnsi"/>
          <w:b/>
          <w:bCs/>
          <w:color w:val="000000" w:themeColor="text1"/>
          <w:u w:val="single"/>
        </w:rPr>
        <w:t>Essential thrombocythemia</w:t>
      </w:r>
      <w:r w:rsidRPr="00A90EF8">
        <w:rPr>
          <w:rFonts w:eastAsia="Times New Roman" w:cstheme="minorHAnsi"/>
          <w:color w:val="000000" w:themeColor="text1"/>
        </w:rPr>
        <w:t xml:space="preserve"> </w:t>
      </w:r>
    </w:p>
    <w:p w14:paraId="21D4A61D" w14:textId="77777777" w:rsidR="00D6785C" w:rsidRDefault="00D6785C" w:rsidP="00A90EF8">
      <w:pPr>
        <w:spacing w:after="0" w:line="240" w:lineRule="auto"/>
        <w:rPr>
          <w:rFonts w:eastAsia="Times New Roman" w:cstheme="minorHAnsi"/>
          <w:color w:val="000000" w:themeColor="text1"/>
        </w:rPr>
      </w:pPr>
      <w:r>
        <w:rPr>
          <w:rFonts w:eastAsia="Times New Roman" w:cstheme="minorHAnsi"/>
          <w:i/>
          <w:iCs/>
          <w:color w:val="000000" w:themeColor="text1"/>
        </w:rPr>
        <w:t xml:space="preserve">Click on “what is ET?” to reveal the answer. </w:t>
      </w:r>
      <w:r>
        <w:rPr>
          <w:rFonts w:eastAsia="Times New Roman" w:cstheme="minorHAnsi"/>
          <w:color w:val="000000" w:themeColor="text1"/>
        </w:rPr>
        <w:t>ET</w:t>
      </w:r>
      <w:r w:rsidR="002A53A3" w:rsidRPr="00A90EF8">
        <w:rPr>
          <w:rFonts w:eastAsia="Times New Roman" w:cstheme="minorHAnsi"/>
          <w:color w:val="000000" w:themeColor="text1"/>
        </w:rPr>
        <w:t xml:space="preserve"> is a disorder in which there is an increase in clonal production of platelets. It is associated with</w:t>
      </w:r>
      <w:r w:rsidR="003D4F80" w:rsidRPr="00A90EF8">
        <w:rPr>
          <w:rFonts w:eastAsia="Times New Roman" w:cstheme="minorHAnsi"/>
          <w:color w:val="000000" w:themeColor="text1"/>
        </w:rPr>
        <w:t xml:space="preserve"> one of</w:t>
      </w:r>
      <w:r w:rsidR="002A53A3" w:rsidRPr="00A90EF8">
        <w:rPr>
          <w:rFonts w:eastAsia="Times New Roman" w:cstheme="minorHAnsi"/>
          <w:color w:val="000000" w:themeColor="text1"/>
        </w:rPr>
        <w:t xml:space="preserve"> three driver mutations including JAK2, CALR, MPL. However, 10-20% of cases have no mutation that can be identified. </w:t>
      </w:r>
    </w:p>
    <w:p w14:paraId="12474716" w14:textId="1A409C1B" w:rsidR="00AF0F26" w:rsidRPr="00D6785C" w:rsidRDefault="00D6785C" w:rsidP="00D6785C">
      <w:pPr>
        <w:pStyle w:val="ListParagraph"/>
        <w:numPr>
          <w:ilvl w:val="0"/>
          <w:numId w:val="15"/>
        </w:numPr>
        <w:spacing w:after="0" w:line="240" w:lineRule="auto"/>
        <w:rPr>
          <w:rFonts w:eastAsia="Times New Roman" w:cstheme="minorHAnsi"/>
          <w:color w:val="000000" w:themeColor="text1"/>
        </w:rPr>
      </w:pPr>
      <w:r w:rsidRPr="00D6785C">
        <w:rPr>
          <w:rFonts w:eastAsia="Times New Roman" w:cstheme="minorHAnsi"/>
          <w:i/>
          <w:iCs/>
          <w:color w:val="000000" w:themeColor="text1"/>
          <w:u w:val="single"/>
        </w:rPr>
        <w:t>Signs/symptoms</w:t>
      </w:r>
      <w:r>
        <w:rPr>
          <w:rFonts w:eastAsia="Times New Roman" w:cstheme="minorHAnsi"/>
          <w:i/>
          <w:iCs/>
          <w:color w:val="000000" w:themeColor="text1"/>
        </w:rPr>
        <w:t xml:space="preserve">: </w:t>
      </w:r>
      <w:r w:rsidRPr="00D6785C">
        <w:rPr>
          <w:rFonts w:eastAsia="Times New Roman" w:cstheme="minorHAnsi"/>
          <w:i/>
          <w:iCs/>
          <w:color w:val="000000" w:themeColor="text1"/>
        </w:rPr>
        <w:t>Ask your learners what signs and symptoms are associated with ET and click on “Sign/symptoms?” to reveal the answer.</w:t>
      </w:r>
      <w:r w:rsidRPr="00D6785C">
        <w:rPr>
          <w:rFonts w:eastAsia="Times New Roman" w:cstheme="minorHAnsi"/>
          <w:color w:val="000000" w:themeColor="text1"/>
        </w:rPr>
        <w:t xml:space="preserve">  </w:t>
      </w:r>
      <w:r w:rsidR="002A53A3" w:rsidRPr="00D6785C">
        <w:rPr>
          <w:rFonts w:eastAsia="Times New Roman" w:cstheme="minorHAnsi"/>
          <w:color w:val="000000" w:themeColor="text1"/>
        </w:rPr>
        <w:t xml:space="preserve">Clinically, </w:t>
      </w:r>
      <w:r w:rsidRPr="00D6785C">
        <w:rPr>
          <w:rFonts w:eastAsia="Times New Roman" w:cstheme="minorHAnsi"/>
          <w:color w:val="000000" w:themeColor="text1"/>
        </w:rPr>
        <w:t>ET</w:t>
      </w:r>
      <w:r w:rsidR="002A53A3" w:rsidRPr="00D6785C">
        <w:rPr>
          <w:rFonts w:eastAsia="Times New Roman" w:cstheme="minorHAnsi"/>
          <w:color w:val="000000" w:themeColor="text1"/>
        </w:rPr>
        <w:t xml:space="preserve"> may present with vasomotor symptoms, TIAs, ocular migraines, or 1</w:t>
      </w:r>
      <w:r w:rsidR="002A53A3" w:rsidRPr="00D6785C">
        <w:rPr>
          <w:rFonts w:eastAsia="Times New Roman" w:cstheme="minorHAnsi"/>
          <w:color w:val="000000" w:themeColor="text1"/>
          <w:vertAlign w:val="superscript"/>
        </w:rPr>
        <w:t>st</w:t>
      </w:r>
      <w:r w:rsidR="002A53A3" w:rsidRPr="00D6785C">
        <w:rPr>
          <w:rFonts w:eastAsia="Times New Roman" w:cstheme="minorHAnsi"/>
          <w:color w:val="000000" w:themeColor="text1"/>
        </w:rPr>
        <w:t xml:space="preserve"> trimester pregnancy loss. Arteri</w:t>
      </w:r>
      <w:r w:rsidR="00AF0F26" w:rsidRPr="00D6785C">
        <w:rPr>
          <w:rFonts w:eastAsia="Times New Roman" w:cstheme="minorHAnsi"/>
          <w:color w:val="000000" w:themeColor="text1"/>
        </w:rPr>
        <w:t xml:space="preserve">al or venous thromboses may occur but are less common. </w:t>
      </w:r>
      <w:r w:rsidR="002A53A3" w:rsidRPr="00D6785C">
        <w:rPr>
          <w:rFonts w:eastAsia="Times New Roman" w:cstheme="minorHAnsi"/>
          <w:color w:val="000000" w:themeColor="text1"/>
        </w:rPr>
        <w:t xml:space="preserve">Some patients may be </w:t>
      </w:r>
      <w:r w:rsidRPr="00D6785C">
        <w:rPr>
          <w:rFonts w:eastAsia="Times New Roman" w:cstheme="minorHAnsi"/>
          <w:color w:val="000000" w:themeColor="text1"/>
        </w:rPr>
        <w:t>asymptomatic,</w:t>
      </w:r>
      <w:r w:rsidR="002A53A3" w:rsidRPr="00D6785C">
        <w:rPr>
          <w:rFonts w:eastAsia="Times New Roman" w:cstheme="minorHAnsi"/>
          <w:color w:val="000000" w:themeColor="text1"/>
        </w:rPr>
        <w:t xml:space="preserve"> and it is first discovered on a CBC.</w:t>
      </w:r>
      <w:r w:rsidR="00AF0F26" w:rsidRPr="00D6785C">
        <w:rPr>
          <w:rFonts w:eastAsia="Times New Roman" w:cstheme="minorHAnsi"/>
          <w:color w:val="000000" w:themeColor="text1"/>
        </w:rPr>
        <w:t xml:space="preserve"> </w:t>
      </w:r>
      <w:r w:rsidR="003D4F80" w:rsidRPr="00D6785C">
        <w:rPr>
          <w:rFonts w:eastAsia="Times New Roman" w:cstheme="minorHAnsi"/>
          <w:color w:val="000000" w:themeColor="text1"/>
        </w:rPr>
        <w:t>If the patient is negative for all three driver mutations (triple negative), a bone marrow biopsy may be necessary to confirm the diagnosis as thrombocytosis can be seen in others</w:t>
      </w:r>
      <w:r w:rsidR="00AF0F26" w:rsidRPr="00D6785C">
        <w:rPr>
          <w:rFonts w:eastAsia="Times New Roman" w:cstheme="minorHAnsi"/>
          <w:color w:val="000000" w:themeColor="text1"/>
        </w:rPr>
        <w:t xml:space="preserve"> MPNs</w:t>
      </w:r>
      <w:r w:rsidR="007473BC" w:rsidRPr="00D6785C">
        <w:rPr>
          <w:rFonts w:eastAsia="Times New Roman" w:cstheme="minorHAnsi"/>
          <w:color w:val="000000" w:themeColor="text1"/>
        </w:rPr>
        <w:t>.</w:t>
      </w:r>
      <w:r w:rsidR="00AF0F26" w:rsidRPr="00D6785C">
        <w:rPr>
          <w:rFonts w:eastAsia="Times New Roman" w:cstheme="minorHAnsi"/>
          <w:color w:val="000000" w:themeColor="text1"/>
        </w:rPr>
        <w:t xml:space="preserve"> </w:t>
      </w:r>
    </w:p>
    <w:p w14:paraId="1BC396C3" w14:textId="24EA2E9F" w:rsidR="00AF0F26" w:rsidRPr="00C27C65" w:rsidRDefault="00AF0F26" w:rsidP="00AF0F26">
      <w:pPr>
        <w:pStyle w:val="ListParagraph"/>
        <w:numPr>
          <w:ilvl w:val="0"/>
          <w:numId w:val="15"/>
        </w:numPr>
        <w:spacing w:after="0" w:line="240" w:lineRule="auto"/>
        <w:rPr>
          <w:rFonts w:eastAsia="Times New Roman" w:cstheme="minorHAnsi"/>
          <w:color w:val="000000" w:themeColor="text1"/>
        </w:rPr>
      </w:pPr>
      <w:r w:rsidRPr="00D6785C">
        <w:rPr>
          <w:rFonts w:eastAsia="Times New Roman" w:cstheme="minorHAnsi"/>
          <w:i/>
          <w:color w:val="000000" w:themeColor="text1"/>
          <w:u w:val="single"/>
        </w:rPr>
        <w:t>Differential Diagnosis</w:t>
      </w:r>
      <w:r w:rsidRPr="00C27C65">
        <w:rPr>
          <w:rFonts w:eastAsia="Times New Roman" w:cstheme="minorHAnsi"/>
          <w:i/>
          <w:color w:val="000000" w:themeColor="text1"/>
        </w:rPr>
        <w:t xml:space="preserve">: </w:t>
      </w:r>
      <w:r w:rsidRPr="00C27C65">
        <w:rPr>
          <w:rFonts w:eastAsia="Times New Roman" w:cstheme="minorHAnsi"/>
          <w:color w:val="000000" w:themeColor="text1"/>
        </w:rPr>
        <w:t>The differential for thrombocytosis includes reactive versus primary thrombocytosis. Challenge learners to come up with examples of reactive thrombocytosis</w:t>
      </w:r>
      <w:r w:rsidR="00577C30">
        <w:rPr>
          <w:rFonts w:eastAsia="Times New Roman" w:cstheme="minorHAnsi"/>
          <w:color w:val="000000" w:themeColor="text1"/>
        </w:rPr>
        <w:t xml:space="preserve"> </w:t>
      </w:r>
      <w:r w:rsidR="00577C30">
        <w:rPr>
          <w:rFonts w:eastAsia="Times New Roman" w:cstheme="minorHAnsi"/>
          <w:color w:val="000000" w:themeColor="text1"/>
        </w:rPr>
        <w:lastRenderedPageBreak/>
        <w:t>before clicking to reveal the answer.</w:t>
      </w:r>
      <w:r w:rsidR="004E2117" w:rsidRPr="00C27C65">
        <w:rPr>
          <w:rFonts w:eastAsia="Times New Roman" w:cstheme="minorHAnsi"/>
          <w:color w:val="000000" w:themeColor="text1"/>
        </w:rPr>
        <w:t xml:space="preserve"> Reactive causes include iron deficiency anemia (commonly missed), in addition to infection/inflammation and post-splenectomy state. Primary causes include all 4 MPNs discussed in this talk.</w:t>
      </w:r>
    </w:p>
    <w:p w14:paraId="129368D3" w14:textId="2C226F1C" w:rsidR="00AF0F26" w:rsidRPr="00C27C65" w:rsidRDefault="00AF0F26" w:rsidP="00AF0F26">
      <w:pPr>
        <w:pStyle w:val="ListParagraph"/>
        <w:numPr>
          <w:ilvl w:val="0"/>
          <w:numId w:val="15"/>
        </w:numPr>
        <w:spacing w:after="0" w:line="240" w:lineRule="auto"/>
        <w:rPr>
          <w:rFonts w:eastAsia="Times New Roman" w:cstheme="minorHAnsi"/>
          <w:color w:val="000000" w:themeColor="text1"/>
        </w:rPr>
      </w:pPr>
      <w:r w:rsidRPr="00577C30">
        <w:rPr>
          <w:rFonts w:eastAsia="Times New Roman" w:cstheme="minorHAnsi"/>
          <w:i/>
          <w:color w:val="000000" w:themeColor="text1"/>
          <w:u w:val="single"/>
        </w:rPr>
        <w:t>Treatment</w:t>
      </w:r>
      <w:r w:rsidRPr="00C27C65">
        <w:rPr>
          <w:rFonts w:eastAsia="Times New Roman" w:cstheme="minorHAnsi"/>
          <w:i/>
          <w:color w:val="000000" w:themeColor="text1"/>
        </w:rPr>
        <w:t xml:space="preserve">: </w:t>
      </w:r>
      <w:r w:rsidRPr="00C27C65">
        <w:rPr>
          <w:rFonts w:eastAsia="Times New Roman" w:cstheme="minorHAnsi"/>
          <w:color w:val="000000" w:themeColor="text1"/>
        </w:rPr>
        <w:t xml:space="preserve">The goal of treatment for ET is to prevent thrombosis. The magnitude of thrombocytosis does not increase the risk of thrombosis (or bleeding). </w:t>
      </w:r>
      <w:r w:rsidR="008C6C1F" w:rsidRPr="00C27C65">
        <w:rPr>
          <w:rFonts w:eastAsia="Times New Roman" w:cstheme="minorHAnsi"/>
          <w:color w:val="000000" w:themeColor="text1"/>
        </w:rPr>
        <w:t>T</w:t>
      </w:r>
      <w:r w:rsidRPr="00C27C65">
        <w:rPr>
          <w:rFonts w:eastAsia="Times New Roman" w:cstheme="minorHAnsi"/>
          <w:color w:val="000000" w:themeColor="text1"/>
        </w:rPr>
        <w:t xml:space="preserve">hrombocytosis </w:t>
      </w:r>
      <w:r w:rsidR="008C6C1F" w:rsidRPr="00C27C65">
        <w:rPr>
          <w:rFonts w:eastAsia="Times New Roman" w:cstheme="minorHAnsi"/>
          <w:color w:val="000000" w:themeColor="text1"/>
        </w:rPr>
        <w:t xml:space="preserve">alone </w:t>
      </w:r>
      <w:r w:rsidRPr="00C27C65">
        <w:rPr>
          <w:rFonts w:eastAsia="Times New Roman" w:cstheme="minorHAnsi"/>
          <w:color w:val="000000" w:themeColor="text1"/>
        </w:rPr>
        <w:t xml:space="preserve">without </w:t>
      </w:r>
      <w:r w:rsidR="008C6C1F" w:rsidRPr="00C27C65">
        <w:rPr>
          <w:rFonts w:eastAsia="Times New Roman" w:cstheme="minorHAnsi"/>
          <w:color w:val="000000" w:themeColor="text1"/>
        </w:rPr>
        <w:t xml:space="preserve">a diagnosis of </w:t>
      </w:r>
      <w:r w:rsidRPr="00C27C65">
        <w:rPr>
          <w:rFonts w:eastAsia="Times New Roman" w:cstheme="minorHAnsi"/>
          <w:color w:val="000000" w:themeColor="text1"/>
        </w:rPr>
        <w:t>ET do</w:t>
      </w:r>
      <w:r w:rsidR="008C6C1F" w:rsidRPr="00C27C65">
        <w:rPr>
          <w:rFonts w:eastAsia="Times New Roman" w:cstheme="minorHAnsi"/>
          <w:color w:val="000000" w:themeColor="text1"/>
        </w:rPr>
        <w:t>es</w:t>
      </w:r>
      <w:r w:rsidRPr="00C27C65">
        <w:rPr>
          <w:rFonts w:eastAsia="Times New Roman" w:cstheme="minorHAnsi"/>
          <w:color w:val="000000" w:themeColor="text1"/>
        </w:rPr>
        <w:t xml:space="preserve"> NOT warrant aspirin therapy. The treatment for ET </w:t>
      </w:r>
      <w:r w:rsidR="002C4E7E" w:rsidRPr="00C27C65">
        <w:rPr>
          <w:rFonts w:eastAsia="Times New Roman" w:cstheme="minorHAnsi"/>
          <w:color w:val="000000" w:themeColor="text1"/>
        </w:rPr>
        <w:t>depends on</w:t>
      </w:r>
      <w:r w:rsidRPr="00C27C65">
        <w:rPr>
          <w:rFonts w:eastAsia="Times New Roman" w:cstheme="minorHAnsi"/>
          <w:color w:val="000000" w:themeColor="text1"/>
        </w:rPr>
        <w:t xml:space="preserve"> if the patient is low risk or high risk for thrombosis. If low risk, </w:t>
      </w:r>
      <w:r w:rsidR="004E2117" w:rsidRPr="00C27C65">
        <w:rPr>
          <w:rFonts w:eastAsia="Times New Roman" w:cstheme="minorHAnsi"/>
          <w:color w:val="000000" w:themeColor="text1"/>
        </w:rPr>
        <w:t>one</w:t>
      </w:r>
      <w:r w:rsidRPr="00C27C65">
        <w:rPr>
          <w:rFonts w:eastAsia="Times New Roman" w:cstheme="minorHAnsi"/>
          <w:color w:val="000000" w:themeColor="text1"/>
        </w:rPr>
        <w:t xml:space="preserve"> can manage with active surveillance and </w:t>
      </w:r>
      <w:r w:rsidR="004E2117" w:rsidRPr="00C27C65">
        <w:rPr>
          <w:rFonts w:eastAsia="Times New Roman" w:cstheme="minorHAnsi"/>
          <w:color w:val="000000" w:themeColor="text1"/>
        </w:rPr>
        <w:t xml:space="preserve">low dose </w:t>
      </w:r>
      <w:r w:rsidRPr="00C27C65">
        <w:rPr>
          <w:rFonts w:eastAsia="Times New Roman" w:cstheme="minorHAnsi"/>
          <w:color w:val="000000" w:themeColor="text1"/>
        </w:rPr>
        <w:t>aspirin. If high risk, the patient will likely need aspirin therapy or anticoagulation depending on thrombosis history (venous vs arterial) and may need a cytoreductive agent (like hydroxyurea</w:t>
      </w:r>
      <w:r w:rsidR="004E2117" w:rsidRPr="00C27C65">
        <w:rPr>
          <w:rFonts w:eastAsia="Times New Roman" w:cstheme="minorHAnsi"/>
          <w:color w:val="000000" w:themeColor="text1"/>
        </w:rPr>
        <w:t xml:space="preserve"> or pegylated interferon</w:t>
      </w:r>
      <w:r w:rsidRPr="00C27C65">
        <w:rPr>
          <w:rFonts w:eastAsia="Times New Roman" w:cstheme="minorHAnsi"/>
          <w:color w:val="000000" w:themeColor="text1"/>
        </w:rPr>
        <w:t>)</w:t>
      </w:r>
      <w:r w:rsidR="004E2117" w:rsidRPr="00C27C65">
        <w:rPr>
          <w:rFonts w:eastAsia="Times New Roman" w:cstheme="minorHAnsi"/>
          <w:color w:val="000000" w:themeColor="text1"/>
        </w:rPr>
        <w:t xml:space="preserve"> as well.</w:t>
      </w:r>
    </w:p>
    <w:p w14:paraId="41E2B612" w14:textId="77777777" w:rsidR="00AF0F26" w:rsidRPr="00C27C65" w:rsidRDefault="00AF0F26" w:rsidP="00AF0F26">
      <w:pPr>
        <w:pStyle w:val="ListParagraph"/>
        <w:spacing w:after="0" w:line="240" w:lineRule="auto"/>
        <w:ind w:left="1080"/>
        <w:rPr>
          <w:rFonts w:eastAsia="Times New Roman" w:cstheme="minorHAnsi"/>
          <w:color w:val="000000" w:themeColor="text1"/>
        </w:rPr>
      </w:pPr>
    </w:p>
    <w:p w14:paraId="2F2BB77C" w14:textId="77777777" w:rsidR="00577C30" w:rsidRPr="00577C30" w:rsidRDefault="00365E73" w:rsidP="00577C30">
      <w:pPr>
        <w:spacing w:after="0" w:line="240" w:lineRule="auto"/>
        <w:rPr>
          <w:rFonts w:eastAsia="Times New Roman" w:cstheme="minorHAnsi"/>
          <w:color w:val="000000" w:themeColor="text1"/>
          <w:spacing w:val="4"/>
          <w:u w:val="single"/>
        </w:rPr>
      </w:pPr>
      <w:r w:rsidRPr="00577C30">
        <w:rPr>
          <w:rFonts w:eastAsia="Times New Roman" w:cstheme="minorHAnsi"/>
          <w:b/>
          <w:color w:val="000000" w:themeColor="text1"/>
          <w:spacing w:val="4"/>
          <w:u w:val="single"/>
        </w:rPr>
        <w:t>Polycythemia vera</w:t>
      </w:r>
      <w:r w:rsidR="004E2117" w:rsidRPr="00577C30">
        <w:rPr>
          <w:rFonts w:eastAsia="Times New Roman" w:cstheme="minorHAnsi"/>
          <w:b/>
          <w:color w:val="000000" w:themeColor="text1"/>
          <w:spacing w:val="4"/>
          <w:u w:val="single"/>
        </w:rPr>
        <w:t xml:space="preserve"> (PV)</w:t>
      </w:r>
    </w:p>
    <w:p w14:paraId="6518BD05" w14:textId="2BB02153" w:rsidR="007E337E" w:rsidRPr="00C27C65" w:rsidRDefault="008A623D" w:rsidP="00577C30">
      <w:pPr>
        <w:spacing w:after="0" w:line="240" w:lineRule="auto"/>
        <w:rPr>
          <w:rFonts w:eastAsia="Times New Roman" w:cstheme="minorHAnsi"/>
          <w:color w:val="000000" w:themeColor="text1"/>
          <w:spacing w:val="4"/>
        </w:rPr>
      </w:pPr>
      <w:r>
        <w:rPr>
          <w:rFonts w:eastAsia="Times New Roman" w:cstheme="minorHAnsi"/>
          <w:color w:val="000000" w:themeColor="text1"/>
          <w:spacing w:val="4"/>
        </w:rPr>
        <w:t>T</w:t>
      </w:r>
      <w:r w:rsidR="004E2117" w:rsidRPr="00C27C65">
        <w:rPr>
          <w:rFonts w:eastAsia="Times New Roman" w:cstheme="minorHAnsi"/>
          <w:color w:val="000000" w:themeColor="text1"/>
          <w:spacing w:val="4"/>
        </w:rPr>
        <w:t>his</w:t>
      </w:r>
      <w:r w:rsidR="00AF0F26" w:rsidRPr="00C27C65">
        <w:rPr>
          <w:rFonts w:eastAsia="Times New Roman" w:cstheme="minorHAnsi"/>
          <w:color w:val="000000" w:themeColor="text1"/>
          <w:spacing w:val="4"/>
        </w:rPr>
        <w:t xml:space="preserve"> is the most common </w:t>
      </w:r>
      <w:r w:rsidR="004E2117" w:rsidRPr="00C27C65">
        <w:rPr>
          <w:rFonts w:eastAsia="Times New Roman" w:cstheme="minorHAnsi"/>
          <w:color w:val="000000" w:themeColor="text1"/>
          <w:spacing w:val="4"/>
        </w:rPr>
        <w:t xml:space="preserve">type </w:t>
      </w:r>
      <w:r w:rsidR="00AF0F26" w:rsidRPr="00C27C65">
        <w:rPr>
          <w:rFonts w:eastAsia="Times New Roman" w:cstheme="minorHAnsi"/>
          <w:color w:val="000000" w:themeColor="text1"/>
          <w:spacing w:val="4"/>
        </w:rPr>
        <w:t>of all</w:t>
      </w:r>
      <w:r w:rsidR="00F15982" w:rsidRPr="00C27C65">
        <w:rPr>
          <w:rFonts w:eastAsia="Times New Roman" w:cstheme="minorHAnsi"/>
          <w:color w:val="000000" w:themeColor="text1"/>
          <w:spacing w:val="4"/>
        </w:rPr>
        <w:t xml:space="preserve"> the </w:t>
      </w:r>
      <w:r w:rsidR="00AF0F26" w:rsidRPr="00C27C65">
        <w:rPr>
          <w:rFonts w:eastAsia="Times New Roman" w:cstheme="minorHAnsi"/>
          <w:color w:val="000000" w:themeColor="text1"/>
          <w:spacing w:val="4"/>
        </w:rPr>
        <w:t xml:space="preserve">MPNs. </w:t>
      </w:r>
      <w:r w:rsidR="009144AD" w:rsidRPr="009144AD">
        <w:rPr>
          <w:rFonts w:eastAsia="Times New Roman" w:cstheme="minorHAnsi"/>
          <w:i/>
          <w:iCs/>
          <w:color w:val="000000" w:themeColor="text1"/>
          <w:spacing w:val="4"/>
        </w:rPr>
        <w:t>Click on “what is PV” to reveal the answer.</w:t>
      </w:r>
      <w:r w:rsidR="009144AD">
        <w:rPr>
          <w:rFonts w:eastAsia="Times New Roman" w:cstheme="minorHAnsi"/>
          <w:color w:val="000000" w:themeColor="text1"/>
          <w:spacing w:val="4"/>
        </w:rPr>
        <w:t xml:space="preserve"> </w:t>
      </w:r>
      <w:r w:rsidR="00C53D0F" w:rsidRPr="00C27C65">
        <w:rPr>
          <w:rFonts w:eastAsia="Times New Roman" w:cstheme="minorHAnsi"/>
          <w:color w:val="000000" w:themeColor="text1"/>
          <w:spacing w:val="4"/>
        </w:rPr>
        <w:t xml:space="preserve">Although a hallmark of PV is erythrocytosis, commonly leukocytosis and thrombocytosis are seen with PV as well. </w:t>
      </w:r>
      <w:r w:rsidR="002C4E7E">
        <w:rPr>
          <w:rFonts w:eastAsia="Times New Roman" w:cstheme="minorHAnsi"/>
          <w:color w:val="000000" w:themeColor="text1"/>
          <w:spacing w:val="4"/>
        </w:rPr>
        <w:t xml:space="preserve">Over 95% of patients have the JAK2 V617F mutation. </w:t>
      </w:r>
    </w:p>
    <w:p w14:paraId="06B678B1" w14:textId="72CE7722" w:rsidR="002C4E7E" w:rsidRPr="002C4E7E" w:rsidRDefault="002C4E7E" w:rsidP="00C87CAA">
      <w:pPr>
        <w:pStyle w:val="ListParagraph"/>
        <w:numPr>
          <w:ilvl w:val="0"/>
          <w:numId w:val="16"/>
        </w:numPr>
        <w:spacing w:after="0" w:line="240" w:lineRule="auto"/>
        <w:textAlignment w:val="baseline"/>
        <w:rPr>
          <w:rFonts w:eastAsia="Times New Roman" w:cstheme="minorHAnsi"/>
          <w:color w:val="000000" w:themeColor="text1"/>
          <w:spacing w:val="4"/>
        </w:rPr>
      </w:pPr>
      <w:r w:rsidRPr="002C4E7E">
        <w:rPr>
          <w:rFonts w:eastAsia="Times New Roman" w:cstheme="minorHAnsi"/>
          <w:i/>
          <w:iCs/>
          <w:color w:val="000000" w:themeColor="text1"/>
          <w:spacing w:val="4"/>
          <w:u w:val="single"/>
        </w:rPr>
        <w:t>Signs/ Symptoms</w:t>
      </w:r>
      <w:r>
        <w:rPr>
          <w:rFonts w:eastAsia="Times New Roman" w:cstheme="minorHAnsi"/>
          <w:color w:val="000000" w:themeColor="text1"/>
          <w:spacing w:val="4"/>
        </w:rPr>
        <w:t xml:space="preserve">: </w:t>
      </w:r>
      <w:r w:rsidRPr="00C27C65">
        <w:rPr>
          <w:rFonts w:eastAsia="Times New Roman" w:cstheme="minorHAnsi"/>
          <w:color w:val="000000" w:themeColor="text1"/>
          <w:spacing w:val="4"/>
        </w:rPr>
        <w:t xml:space="preserve">Challenge your learners to come up with symptoms of </w:t>
      </w:r>
      <w:r>
        <w:rPr>
          <w:rFonts w:eastAsia="Times New Roman" w:cstheme="minorHAnsi"/>
          <w:color w:val="000000" w:themeColor="text1"/>
          <w:spacing w:val="4"/>
        </w:rPr>
        <w:t>PV</w:t>
      </w:r>
      <w:r w:rsidR="009144AD">
        <w:rPr>
          <w:rFonts w:eastAsia="Times New Roman" w:cstheme="minorHAnsi"/>
          <w:color w:val="000000" w:themeColor="text1"/>
          <w:spacing w:val="4"/>
        </w:rPr>
        <w:t xml:space="preserve"> before clicking to reveal the answer</w:t>
      </w:r>
      <w:r w:rsidRPr="00C27C65">
        <w:rPr>
          <w:rFonts w:eastAsia="Times New Roman" w:cstheme="minorHAnsi"/>
          <w:color w:val="000000" w:themeColor="text1"/>
          <w:spacing w:val="4"/>
        </w:rPr>
        <w:t xml:space="preserve">. Symptoms may include headaches, aquagenic pruritus, thrombosis, hemorrhage (from acquired von Willebrand’s disease), TIAs or ocular migraines. </w:t>
      </w:r>
      <w:r w:rsidR="009144AD" w:rsidRPr="00C27C65">
        <w:rPr>
          <w:rFonts w:eastAsia="Times New Roman" w:cstheme="minorHAnsi"/>
          <w:color w:val="000000" w:themeColor="text1"/>
          <w:spacing w:val="4"/>
        </w:rPr>
        <w:t xml:space="preserve">It </w:t>
      </w:r>
      <w:r w:rsidR="009144AD">
        <w:rPr>
          <w:rFonts w:eastAsia="Times New Roman" w:cstheme="minorHAnsi"/>
          <w:color w:val="000000" w:themeColor="text1"/>
          <w:spacing w:val="4"/>
        </w:rPr>
        <w:t>should be</w:t>
      </w:r>
      <w:r w:rsidR="009144AD" w:rsidRPr="00C27C65">
        <w:rPr>
          <w:rFonts w:eastAsia="Times New Roman" w:cstheme="minorHAnsi"/>
          <w:color w:val="000000" w:themeColor="text1"/>
          <w:spacing w:val="4"/>
        </w:rPr>
        <w:t xml:space="preserve"> suspected in males with Hgb &gt;16.5, females with Hgb &gt;16, a 25% rise in typical RBC mass, or if patient develops arterial or venous thrombosis. Maintain a high level of suspicion for PV in patients with a diagnosis of Budd-Chiari syndrome, portal vein thrombosis, splenic vein thrombosis, or mesenteric vein thrombosis as these conditions can result in portal hypertension which may mask the laboratory signs of PV.  </w:t>
      </w:r>
    </w:p>
    <w:p w14:paraId="3DE1666F" w14:textId="77777777" w:rsidR="009144AD" w:rsidRDefault="00C53D0F" w:rsidP="00C87CAA">
      <w:pPr>
        <w:pStyle w:val="ListParagraph"/>
        <w:numPr>
          <w:ilvl w:val="0"/>
          <w:numId w:val="16"/>
        </w:numPr>
        <w:spacing w:after="0" w:line="240" w:lineRule="auto"/>
        <w:textAlignment w:val="baseline"/>
        <w:rPr>
          <w:rFonts w:eastAsia="Times New Roman" w:cstheme="minorHAnsi"/>
          <w:color w:val="000000" w:themeColor="text1"/>
          <w:spacing w:val="4"/>
        </w:rPr>
      </w:pPr>
      <w:r w:rsidRPr="009144AD">
        <w:rPr>
          <w:rFonts w:eastAsia="Times New Roman" w:cstheme="minorHAnsi"/>
          <w:i/>
          <w:iCs/>
          <w:color w:val="000000" w:themeColor="text1"/>
          <w:spacing w:val="4"/>
          <w:u w:val="single"/>
        </w:rPr>
        <w:t>Physiology</w:t>
      </w:r>
      <w:r w:rsidR="009144AD" w:rsidRPr="009144AD">
        <w:rPr>
          <w:rFonts w:eastAsia="Times New Roman" w:cstheme="minorHAnsi"/>
          <w:i/>
          <w:iCs/>
          <w:color w:val="000000" w:themeColor="text1"/>
          <w:spacing w:val="4"/>
          <w:u w:val="single"/>
        </w:rPr>
        <w:t xml:space="preserve"> of erythrocytosis</w:t>
      </w:r>
      <w:r w:rsidR="00D9479F" w:rsidRPr="00C27C65">
        <w:rPr>
          <w:rFonts w:eastAsia="Times New Roman" w:cstheme="minorHAnsi"/>
          <w:i/>
          <w:iCs/>
          <w:color w:val="000000" w:themeColor="text1"/>
          <w:spacing w:val="4"/>
        </w:rPr>
        <w:t xml:space="preserve">: </w:t>
      </w:r>
      <w:r w:rsidR="00CC67EF" w:rsidRPr="00C27C65">
        <w:rPr>
          <w:rFonts w:eastAsia="Times New Roman" w:cstheme="minorHAnsi"/>
          <w:color w:val="000000" w:themeColor="text1"/>
          <w:spacing w:val="4"/>
        </w:rPr>
        <w:t xml:space="preserve">To review other etiologies of </w:t>
      </w:r>
      <w:r w:rsidR="007473BC" w:rsidRPr="00C27C65">
        <w:rPr>
          <w:rFonts w:eastAsia="Times New Roman" w:cstheme="minorHAnsi"/>
          <w:color w:val="000000" w:themeColor="text1"/>
          <w:spacing w:val="4"/>
        </w:rPr>
        <w:t>erythrocytosis</w:t>
      </w:r>
      <w:r w:rsidR="00CC67EF" w:rsidRPr="00C27C65">
        <w:rPr>
          <w:rFonts w:eastAsia="Times New Roman" w:cstheme="minorHAnsi"/>
          <w:color w:val="000000" w:themeColor="text1"/>
          <w:spacing w:val="4"/>
        </w:rPr>
        <w:t xml:space="preserve">, it is important to understand the normal response to hypoxemia. In the setting of low oxygen in the </w:t>
      </w:r>
      <w:r w:rsidR="00CC67EF" w:rsidRPr="008A623D">
        <w:rPr>
          <w:rFonts w:eastAsia="Times New Roman" w:cstheme="minorHAnsi"/>
          <w:color w:val="000000" w:themeColor="text1"/>
          <w:spacing w:val="4"/>
        </w:rPr>
        <w:t>blood</w:t>
      </w:r>
      <w:r w:rsidR="00D9479F" w:rsidRPr="008A623D">
        <w:rPr>
          <w:rFonts w:eastAsia="Times New Roman" w:cstheme="minorHAnsi"/>
          <w:color w:val="000000" w:themeColor="text1"/>
          <w:spacing w:val="4"/>
        </w:rPr>
        <w:t xml:space="preserve"> (1)</w:t>
      </w:r>
      <w:r w:rsidR="00CC67EF" w:rsidRPr="008A623D">
        <w:rPr>
          <w:rFonts w:eastAsia="Times New Roman" w:cstheme="minorHAnsi"/>
          <w:color w:val="000000" w:themeColor="text1"/>
          <w:spacing w:val="4"/>
        </w:rPr>
        <w:t>, specialized cells in our kidneys</w:t>
      </w:r>
      <w:r w:rsidR="00CF64E9" w:rsidRPr="008A623D">
        <w:rPr>
          <w:rFonts w:eastAsia="Times New Roman" w:cstheme="minorHAnsi"/>
          <w:color w:val="000000" w:themeColor="text1"/>
          <w:spacing w:val="4"/>
        </w:rPr>
        <w:t xml:space="preserve"> (2)</w:t>
      </w:r>
      <w:r w:rsidR="00CC67EF" w:rsidRPr="008A623D">
        <w:rPr>
          <w:rFonts w:eastAsia="Times New Roman" w:cstheme="minorHAnsi"/>
          <w:color w:val="000000" w:themeColor="text1"/>
          <w:spacing w:val="4"/>
        </w:rPr>
        <w:t xml:space="preserve"> produce a hormone called erythropoietin (EPO)</w:t>
      </w:r>
      <w:r w:rsidR="00CF64E9" w:rsidRPr="008A623D">
        <w:rPr>
          <w:rFonts w:eastAsia="Times New Roman" w:cstheme="minorHAnsi"/>
          <w:color w:val="000000" w:themeColor="text1"/>
          <w:spacing w:val="4"/>
        </w:rPr>
        <w:t xml:space="preserve"> (3). </w:t>
      </w:r>
      <w:r w:rsidR="00CC67EF" w:rsidRPr="008A623D">
        <w:rPr>
          <w:rFonts w:eastAsia="Times New Roman" w:cstheme="minorHAnsi"/>
          <w:color w:val="000000" w:themeColor="text1"/>
          <w:spacing w:val="4"/>
        </w:rPr>
        <w:t>This hormone stimulates our bone marrow</w:t>
      </w:r>
      <w:r w:rsidR="00CF64E9" w:rsidRPr="008A623D">
        <w:rPr>
          <w:rFonts w:eastAsia="Times New Roman" w:cstheme="minorHAnsi"/>
          <w:color w:val="000000" w:themeColor="text1"/>
          <w:spacing w:val="4"/>
        </w:rPr>
        <w:t xml:space="preserve"> (4)</w:t>
      </w:r>
      <w:r w:rsidR="00CC67EF" w:rsidRPr="008A623D">
        <w:rPr>
          <w:rFonts w:eastAsia="Times New Roman" w:cstheme="minorHAnsi"/>
          <w:color w:val="000000" w:themeColor="text1"/>
          <w:spacing w:val="4"/>
        </w:rPr>
        <w:t xml:space="preserve"> to produce more red blood cells</w:t>
      </w:r>
      <w:r w:rsidR="00CF64E9" w:rsidRPr="008A623D">
        <w:rPr>
          <w:rFonts w:eastAsia="Times New Roman" w:cstheme="minorHAnsi"/>
          <w:color w:val="000000" w:themeColor="text1"/>
          <w:spacing w:val="4"/>
        </w:rPr>
        <w:t xml:space="preserve"> (5)</w:t>
      </w:r>
      <w:r w:rsidR="00CC67EF" w:rsidRPr="008A623D">
        <w:rPr>
          <w:rFonts w:eastAsia="Times New Roman" w:cstheme="minorHAnsi"/>
          <w:color w:val="000000" w:themeColor="text1"/>
          <w:spacing w:val="4"/>
        </w:rPr>
        <w:t xml:space="preserve"> and thus can lead to an increase in the red blood cell mass. </w:t>
      </w:r>
    </w:p>
    <w:p w14:paraId="5F737224" w14:textId="446C36D9" w:rsidR="00152703" w:rsidRDefault="009144AD" w:rsidP="00C87CAA">
      <w:pPr>
        <w:pStyle w:val="ListParagraph"/>
        <w:numPr>
          <w:ilvl w:val="0"/>
          <w:numId w:val="16"/>
        </w:numPr>
        <w:spacing w:after="0" w:line="240" w:lineRule="auto"/>
        <w:textAlignment w:val="baseline"/>
        <w:rPr>
          <w:rFonts w:eastAsia="Times New Roman" w:cstheme="minorHAnsi"/>
          <w:color w:val="000000" w:themeColor="text1"/>
          <w:spacing w:val="4"/>
        </w:rPr>
      </w:pPr>
      <w:r>
        <w:rPr>
          <w:rFonts w:eastAsia="Times New Roman" w:cstheme="minorHAnsi"/>
          <w:i/>
          <w:iCs/>
          <w:color w:val="000000" w:themeColor="text1"/>
          <w:spacing w:val="4"/>
          <w:u w:val="single"/>
        </w:rPr>
        <w:t xml:space="preserve">Differential </w:t>
      </w:r>
      <w:r w:rsidRPr="009144AD">
        <w:rPr>
          <w:rFonts w:eastAsia="Times New Roman" w:cstheme="minorHAnsi"/>
          <w:i/>
          <w:iCs/>
          <w:color w:val="000000" w:themeColor="text1"/>
          <w:spacing w:val="4"/>
          <w:u w:val="single"/>
        </w:rPr>
        <w:t>Diagnosis</w:t>
      </w:r>
      <w:r>
        <w:rPr>
          <w:rFonts w:eastAsia="Times New Roman" w:cstheme="minorHAnsi"/>
          <w:i/>
          <w:iCs/>
          <w:color w:val="000000" w:themeColor="text1"/>
          <w:spacing w:val="4"/>
        </w:rPr>
        <w:t xml:space="preserve">: </w:t>
      </w:r>
      <w:r w:rsidR="00152703">
        <w:rPr>
          <w:rFonts w:eastAsia="Times New Roman" w:cstheme="minorHAnsi"/>
          <w:color w:val="000000" w:themeColor="text1"/>
          <w:spacing w:val="4"/>
        </w:rPr>
        <w:t xml:space="preserve">Causes of erythrocytosis can be separated into relative erythrocytosis, secondary erythrocytosis and PV. </w:t>
      </w:r>
      <w:r w:rsidR="00152703">
        <w:rPr>
          <w:rFonts w:eastAsia="Times New Roman" w:cstheme="minorHAnsi"/>
          <w:i/>
          <w:iCs/>
          <w:color w:val="000000" w:themeColor="text1"/>
          <w:spacing w:val="4"/>
        </w:rPr>
        <w:t xml:space="preserve">Prompt learners to </w:t>
      </w:r>
      <w:r w:rsidR="00E86C1B">
        <w:rPr>
          <w:rFonts w:eastAsia="Times New Roman" w:cstheme="minorHAnsi"/>
          <w:i/>
          <w:iCs/>
          <w:color w:val="000000" w:themeColor="text1"/>
          <w:spacing w:val="4"/>
        </w:rPr>
        <w:t xml:space="preserve">identify the primary problem in each type of erythrocytosis, </w:t>
      </w:r>
      <w:r w:rsidR="00152703">
        <w:rPr>
          <w:rFonts w:eastAsia="Times New Roman" w:cstheme="minorHAnsi"/>
          <w:i/>
          <w:iCs/>
          <w:color w:val="000000" w:themeColor="text1"/>
          <w:spacing w:val="4"/>
        </w:rPr>
        <w:t>give examples and</w:t>
      </w:r>
      <w:r w:rsidR="00E86C1B">
        <w:rPr>
          <w:rFonts w:eastAsia="Times New Roman" w:cstheme="minorHAnsi"/>
          <w:i/>
          <w:iCs/>
          <w:color w:val="000000" w:themeColor="text1"/>
          <w:spacing w:val="4"/>
        </w:rPr>
        <w:t xml:space="preserve"> determine what the measured EPO level would be. C</w:t>
      </w:r>
      <w:r w:rsidR="00152703">
        <w:rPr>
          <w:rFonts w:eastAsia="Times New Roman" w:cstheme="minorHAnsi"/>
          <w:i/>
          <w:iCs/>
          <w:color w:val="000000" w:themeColor="text1"/>
          <w:spacing w:val="4"/>
        </w:rPr>
        <w:t>lick on each button until the mouse cursor disappears.</w:t>
      </w:r>
    </w:p>
    <w:p w14:paraId="5A54A2F4" w14:textId="7831229C" w:rsidR="00152703" w:rsidRDefault="00152703" w:rsidP="00152703">
      <w:pPr>
        <w:pStyle w:val="ListParagraph"/>
        <w:numPr>
          <w:ilvl w:val="1"/>
          <w:numId w:val="16"/>
        </w:numPr>
        <w:spacing w:after="0" w:line="240" w:lineRule="auto"/>
        <w:textAlignment w:val="baseline"/>
        <w:rPr>
          <w:rFonts w:eastAsia="Times New Roman" w:cstheme="minorHAnsi"/>
          <w:color w:val="000000" w:themeColor="text1"/>
          <w:spacing w:val="4"/>
        </w:rPr>
      </w:pPr>
      <w:r w:rsidRPr="00152703">
        <w:rPr>
          <w:rFonts w:eastAsia="Times New Roman" w:cstheme="minorHAnsi"/>
          <w:i/>
          <w:iCs/>
          <w:color w:val="000000" w:themeColor="text1"/>
          <w:spacing w:val="4"/>
        </w:rPr>
        <w:t>Relative erythrocytosis</w:t>
      </w:r>
      <w:r>
        <w:rPr>
          <w:rFonts w:eastAsia="Times New Roman" w:cstheme="minorHAnsi"/>
          <w:color w:val="000000" w:themeColor="text1"/>
          <w:spacing w:val="4"/>
        </w:rPr>
        <w:t xml:space="preserve"> is from hemoconcentration of the blood from dehydration (diuretics, vomiting, diarrhea). The graphic shows why measured hematocrit/</w:t>
      </w:r>
      <w:r w:rsidR="00E86C1B">
        <w:rPr>
          <w:rFonts w:eastAsia="Times New Roman" w:cstheme="minorHAnsi"/>
          <w:color w:val="000000" w:themeColor="text1"/>
          <w:spacing w:val="4"/>
        </w:rPr>
        <w:t xml:space="preserve"> </w:t>
      </w:r>
      <w:r>
        <w:rPr>
          <w:rFonts w:eastAsia="Times New Roman" w:cstheme="minorHAnsi"/>
          <w:color w:val="000000" w:themeColor="text1"/>
          <w:spacing w:val="4"/>
        </w:rPr>
        <w:t xml:space="preserve">hemoglobin concentration would be higher in a patient who is dehydrated. </w:t>
      </w:r>
      <w:r w:rsidR="00E86C1B">
        <w:rPr>
          <w:rFonts w:eastAsia="Times New Roman" w:cstheme="minorHAnsi"/>
          <w:color w:val="000000" w:themeColor="text1"/>
          <w:spacing w:val="4"/>
        </w:rPr>
        <w:t xml:space="preserve">EPO level in relative erythrocytosis is unchanged/normal. </w:t>
      </w:r>
    </w:p>
    <w:p w14:paraId="08340AED" w14:textId="77777777" w:rsidR="00E86C1B" w:rsidRDefault="00152703" w:rsidP="00152703">
      <w:pPr>
        <w:pStyle w:val="ListParagraph"/>
        <w:numPr>
          <w:ilvl w:val="1"/>
          <w:numId w:val="16"/>
        </w:numPr>
        <w:spacing w:after="0" w:line="240" w:lineRule="auto"/>
        <w:textAlignment w:val="baseline"/>
        <w:rPr>
          <w:rFonts w:eastAsia="Times New Roman" w:cstheme="minorHAnsi"/>
          <w:color w:val="000000" w:themeColor="text1"/>
          <w:spacing w:val="4"/>
        </w:rPr>
      </w:pPr>
      <w:r>
        <w:rPr>
          <w:rFonts w:eastAsia="Times New Roman" w:cstheme="minorHAnsi"/>
          <w:i/>
          <w:iCs/>
          <w:color w:val="000000" w:themeColor="text1"/>
          <w:spacing w:val="4"/>
        </w:rPr>
        <w:t xml:space="preserve">Secondary </w:t>
      </w:r>
      <w:r w:rsidRPr="00152703">
        <w:rPr>
          <w:rFonts w:eastAsia="Times New Roman" w:cstheme="minorHAnsi"/>
          <w:color w:val="000000" w:themeColor="text1"/>
          <w:spacing w:val="4"/>
        </w:rPr>
        <w:t>erythrocytosis</w:t>
      </w:r>
      <w:r>
        <w:rPr>
          <w:rFonts w:eastAsia="Times New Roman" w:cstheme="minorHAnsi"/>
          <w:color w:val="000000" w:themeColor="text1"/>
          <w:spacing w:val="4"/>
        </w:rPr>
        <w:t xml:space="preserve"> may be due to hypoxemia</w:t>
      </w:r>
      <w:r w:rsidR="00E86C1B">
        <w:rPr>
          <w:rFonts w:eastAsia="Times New Roman" w:cstheme="minorHAnsi"/>
          <w:color w:val="000000" w:themeColor="text1"/>
          <w:spacing w:val="4"/>
        </w:rPr>
        <w:t xml:space="preserve"> (COPD/OSA, high altitude, RAS) or elevated EPO levels (typically from EPO secreting tumor such as HCC, RCC, or pheochromocytoma). EPO levels in secondary erythrocytosis are elevated.</w:t>
      </w:r>
    </w:p>
    <w:p w14:paraId="6D41661B" w14:textId="65DB6405" w:rsidR="00CC67EF" w:rsidRPr="00C27C65" w:rsidRDefault="00E86C1B" w:rsidP="00152703">
      <w:pPr>
        <w:pStyle w:val="ListParagraph"/>
        <w:numPr>
          <w:ilvl w:val="1"/>
          <w:numId w:val="16"/>
        </w:numPr>
        <w:spacing w:after="0" w:line="240" w:lineRule="auto"/>
        <w:textAlignment w:val="baseline"/>
        <w:rPr>
          <w:rFonts w:eastAsia="Times New Roman" w:cstheme="minorHAnsi"/>
          <w:color w:val="000000" w:themeColor="text1"/>
          <w:spacing w:val="4"/>
        </w:rPr>
      </w:pPr>
      <w:r w:rsidRPr="00E86C1B">
        <w:rPr>
          <w:rFonts w:eastAsia="Times New Roman" w:cstheme="minorHAnsi"/>
          <w:i/>
          <w:iCs/>
          <w:color w:val="000000" w:themeColor="text1"/>
          <w:spacing w:val="4"/>
        </w:rPr>
        <w:t>PV</w:t>
      </w:r>
      <w:r>
        <w:rPr>
          <w:rFonts w:eastAsia="Times New Roman" w:cstheme="minorHAnsi"/>
          <w:color w:val="000000" w:themeColor="text1"/>
          <w:spacing w:val="4"/>
        </w:rPr>
        <w:t xml:space="preserve"> – in PV, the primary problem is at the level of the bone marrow. As a result, there is a negative feedback mechanism which suppresses EPO production. </w:t>
      </w:r>
      <w:r w:rsidR="003A3E2C" w:rsidRPr="00C27C65">
        <w:rPr>
          <w:rFonts w:eastAsia="Times New Roman" w:cstheme="minorHAnsi"/>
          <w:color w:val="000000" w:themeColor="text1"/>
          <w:spacing w:val="4"/>
        </w:rPr>
        <w:t>It is important to note that although EPO level is typically suppressed in PV, it may also be normal in as many as 15% of patients.</w:t>
      </w:r>
      <w:r w:rsidR="004E2117" w:rsidRPr="00C27C65">
        <w:rPr>
          <w:rFonts w:eastAsia="Times New Roman" w:cstheme="minorHAnsi"/>
          <w:color w:val="000000" w:themeColor="text1"/>
          <w:spacing w:val="4"/>
        </w:rPr>
        <w:t xml:space="preserve"> </w:t>
      </w:r>
      <w:r w:rsidR="002A3F51" w:rsidRPr="00152703">
        <w:rPr>
          <w:rFonts w:eastAsia="Times New Roman" w:cstheme="minorHAnsi"/>
          <w:color w:val="000000" w:themeColor="text1"/>
          <w:spacing w:val="4"/>
        </w:rPr>
        <w:t>EPO</w:t>
      </w:r>
      <w:r w:rsidR="002A3F51" w:rsidRPr="008A623D">
        <w:rPr>
          <w:rFonts w:eastAsia="Times New Roman" w:cstheme="minorHAnsi"/>
          <w:color w:val="000000" w:themeColor="text1"/>
          <w:spacing w:val="4"/>
        </w:rPr>
        <w:t xml:space="preserve"> level is not the most sensitive or specific</w:t>
      </w:r>
      <w:r w:rsidR="002A3F51" w:rsidRPr="00C27C65">
        <w:rPr>
          <w:rFonts w:eastAsia="Times New Roman" w:cstheme="minorHAnsi"/>
          <w:color w:val="000000" w:themeColor="text1"/>
          <w:spacing w:val="4"/>
        </w:rPr>
        <w:t xml:space="preserve"> test; however, it may point you in the direction of the most likely diagnosis.</w:t>
      </w:r>
    </w:p>
    <w:p w14:paraId="0AE403D9" w14:textId="5FA71FCC" w:rsidR="00CF64E9" w:rsidRPr="00B47F6B" w:rsidRDefault="00CF64E9" w:rsidP="00B47F6B">
      <w:pPr>
        <w:pStyle w:val="ListParagraph"/>
        <w:numPr>
          <w:ilvl w:val="0"/>
          <w:numId w:val="16"/>
        </w:numPr>
        <w:spacing w:after="0" w:line="240" w:lineRule="auto"/>
        <w:textAlignment w:val="baseline"/>
        <w:rPr>
          <w:rFonts w:eastAsia="Times New Roman" w:cstheme="minorHAnsi"/>
          <w:color w:val="000000" w:themeColor="text1"/>
          <w:spacing w:val="4"/>
        </w:rPr>
      </w:pPr>
      <w:r w:rsidRPr="002A3F51">
        <w:rPr>
          <w:rFonts w:eastAsia="Times New Roman" w:cstheme="minorHAnsi"/>
          <w:i/>
          <w:iCs/>
          <w:color w:val="000000" w:themeColor="text1"/>
          <w:spacing w:val="4"/>
          <w:u w:val="single"/>
        </w:rPr>
        <w:t>Treatment</w:t>
      </w:r>
      <w:r w:rsidRPr="00C27C65">
        <w:rPr>
          <w:rFonts w:eastAsia="Times New Roman" w:cstheme="minorHAnsi"/>
          <w:i/>
          <w:iCs/>
          <w:color w:val="000000" w:themeColor="text1"/>
          <w:spacing w:val="4"/>
        </w:rPr>
        <w:t xml:space="preserve">: </w:t>
      </w:r>
      <w:r w:rsidR="009132D6" w:rsidRPr="00C27C65">
        <w:rPr>
          <w:rFonts w:eastAsia="Times New Roman" w:cstheme="minorHAnsi"/>
          <w:color w:val="000000" w:themeColor="text1"/>
        </w:rPr>
        <w:t>The basics of treatment for polycythemia vera are to prevent complications such as thrombosis. Patients are risk stratified into high or low risk depending on age and history of thrombosis. The mainstay of treatment includes phlebotomy and low dose aspirin. If high risk, you could consider adding a cytoreductive agent (such as hydroxyurea</w:t>
      </w:r>
      <w:r w:rsidR="004E2117" w:rsidRPr="00C27C65">
        <w:rPr>
          <w:rFonts w:eastAsia="Times New Roman" w:cstheme="minorHAnsi"/>
          <w:color w:val="000000" w:themeColor="text1"/>
        </w:rPr>
        <w:t xml:space="preserve"> or pegylated interferon</w:t>
      </w:r>
      <w:r w:rsidR="009132D6" w:rsidRPr="00C27C65">
        <w:rPr>
          <w:rFonts w:eastAsia="Times New Roman" w:cstheme="minorHAnsi"/>
          <w:color w:val="000000" w:themeColor="text1"/>
        </w:rPr>
        <w:t>)</w:t>
      </w:r>
      <w:r w:rsidR="00B47F6B">
        <w:rPr>
          <w:rFonts w:eastAsia="Times New Roman" w:cstheme="minorHAnsi"/>
          <w:color w:val="000000" w:themeColor="text1"/>
        </w:rPr>
        <w:t>.</w:t>
      </w:r>
    </w:p>
    <w:p w14:paraId="06CD3CCD" w14:textId="77777777" w:rsidR="00B47F6B" w:rsidRPr="00B47F6B" w:rsidRDefault="00CF64E9" w:rsidP="008A623D">
      <w:pPr>
        <w:spacing w:after="0" w:line="240" w:lineRule="auto"/>
        <w:textAlignment w:val="baseline"/>
        <w:rPr>
          <w:rFonts w:eastAsia="Times New Roman" w:cstheme="minorHAnsi"/>
          <w:b/>
          <w:color w:val="000000" w:themeColor="text1"/>
          <w:u w:val="single"/>
        </w:rPr>
      </w:pPr>
      <w:r w:rsidRPr="00B47F6B">
        <w:rPr>
          <w:rFonts w:eastAsia="Times New Roman" w:cstheme="minorHAnsi"/>
          <w:b/>
          <w:color w:val="000000" w:themeColor="text1"/>
          <w:u w:val="single"/>
        </w:rPr>
        <w:lastRenderedPageBreak/>
        <w:t>Primary Myelofibrosis</w:t>
      </w:r>
      <w:r w:rsidR="004E2117" w:rsidRPr="00B47F6B">
        <w:rPr>
          <w:rFonts w:eastAsia="Times New Roman" w:cstheme="minorHAnsi"/>
          <w:b/>
          <w:color w:val="000000" w:themeColor="text1"/>
          <w:u w:val="single"/>
        </w:rPr>
        <w:t xml:space="preserve"> (PMF)</w:t>
      </w:r>
    </w:p>
    <w:p w14:paraId="3E5FBFC9" w14:textId="77777777" w:rsidR="00B47F6B" w:rsidRDefault="00B47F6B" w:rsidP="008A623D">
      <w:pPr>
        <w:spacing w:after="0" w:line="240" w:lineRule="auto"/>
        <w:textAlignment w:val="baseline"/>
        <w:rPr>
          <w:rFonts w:eastAsia="Times New Roman" w:cstheme="minorHAnsi"/>
          <w:color w:val="000000" w:themeColor="text1"/>
        </w:rPr>
      </w:pPr>
      <w:r w:rsidRPr="00B47F6B">
        <w:rPr>
          <w:rFonts w:eastAsia="Times New Roman" w:cstheme="minorHAnsi"/>
          <w:i/>
          <w:iCs/>
          <w:color w:val="000000" w:themeColor="text1"/>
        </w:rPr>
        <w:t>Ask learners what they recall about PMF before clicking on “What is PMF”.</w:t>
      </w:r>
      <w:r w:rsidR="00CF64E9" w:rsidRPr="00C27C65">
        <w:rPr>
          <w:rFonts w:eastAsia="Times New Roman" w:cstheme="minorHAnsi"/>
          <w:color w:val="000000" w:themeColor="text1"/>
        </w:rPr>
        <w:t xml:space="preserve"> This myeloproliferative disorder occurs when the bone marrow is replaced by connective tissue or fibrosis. It is associated with</w:t>
      </w:r>
      <w:r w:rsidR="000621B7" w:rsidRPr="00C27C65">
        <w:rPr>
          <w:rFonts w:eastAsia="Times New Roman" w:cstheme="minorHAnsi"/>
          <w:color w:val="000000" w:themeColor="text1"/>
        </w:rPr>
        <w:t xml:space="preserve"> one of three driver mutations including</w:t>
      </w:r>
      <w:r w:rsidR="00CF64E9" w:rsidRPr="00C27C65">
        <w:rPr>
          <w:rFonts w:eastAsia="Times New Roman" w:cstheme="minorHAnsi"/>
          <w:color w:val="000000" w:themeColor="text1"/>
        </w:rPr>
        <w:t xml:space="preserve"> JAK2, CALR, or MPL and can develop from </w:t>
      </w:r>
      <w:r w:rsidR="000621B7" w:rsidRPr="00C27C65">
        <w:rPr>
          <w:rFonts w:eastAsia="Times New Roman" w:cstheme="minorHAnsi"/>
          <w:color w:val="000000" w:themeColor="text1"/>
        </w:rPr>
        <w:t>other MPNs (</w:t>
      </w:r>
      <w:r w:rsidR="00CF64E9" w:rsidRPr="00C27C65">
        <w:rPr>
          <w:rFonts w:eastAsia="Times New Roman" w:cstheme="minorHAnsi"/>
          <w:color w:val="000000" w:themeColor="text1"/>
        </w:rPr>
        <w:t>PV or ET</w:t>
      </w:r>
      <w:r w:rsidR="000621B7" w:rsidRPr="00C27C65">
        <w:rPr>
          <w:rFonts w:eastAsia="Times New Roman" w:cstheme="minorHAnsi"/>
          <w:color w:val="000000" w:themeColor="text1"/>
        </w:rPr>
        <w:t>)</w:t>
      </w:r>
      <w:r w:rsidR="00CF64E9" w:rsidRPr="00C27C65">
        <w:rPr>
          <w:rFonts w:eastAsia="Times New Roman" w:cstheme="minorHAnsi"/>
          <w:color w:val="000000" w:themeColor="text1"/>
        </w:rPr>
        <w:t xml:space="preserve">. When the bone marrow is replaced by fibrosis it can lead to extramedullary hematopoiesis. </w:t>
      </w:r>
    </w:p>
    <w:p w14:paraId="559FC905" w14:textId="04B89960" w:rsidR="00CF64E9" w:rsidRPr="00B47F6B" w:rsidRDefault="00CF64E9" w:rsidP="00B47F6B">
      <w:pPr>
        <w:pStyle w:val="ListParagraph"/>
        <w:numPr>
          <w:ilvl w:val="0"/>
          <w:numId w:val="20"/>
        </w:numPr>
        <w:spacing w:after="0" w:line="240" w:lineRule="auto"/>
        <w:textAlignment w:val="baseline"/>
        <w:rPr>
          <w:rFonts w:eastAsia="Times New Roman" w:cstheme="minorHAnsi"/>
          <w:color w:val="000000" w:themeColor="text1"/>
          <w:spacing w:val="4"/>
        </w:rPr>
      </w:pPr>
      <w:r w:rsidRPr="002343B2">
        <w:rPr>
          <w:rFonts w:eastAsia="Times New Roman" w:cstheme="minorHAnsi"/>
          <w:i/>
          <w:iCs/>
          <w:color w:val="000000" w:themeColor="text1"/>
          <w:u w:val="single"/>
        </w:rPr>
        <w:t>Signs and symptoms</w:t>
      </w:r>
      <w:r w:rsidRPr="00B47F6B">
        <w:rPr>
          <w:rFonts w:eastAsia="Times New Roman" w:cstheme="minorHAnsi"/>
          <w:color w:val="000000" w:themeColor="text1"/>
        </w:rPr>
        <w:t xml:space="preserve"> include hepatosplenomegaly, bone pain, anemia (from low red blood cells), bleeding (from low platelets), infecti</w:t>
      </w:r>
      <w:r w:rsidR="007473BC" w:rsidRPr="00B47F6B">
        <w:rPr>
          <w:rFonts w:eastAsia="Times New Roman" w:cstheme="minorHAnsi"/>
          <w:color w:val="000000" w:themeColor="text1"/>
        </w:rPr>
        <w:t>on</w:t>
      </w:r>
      <w:r w:rsidRPr="00B47F6B">
        <w:rPr>
          <w:rFonts w:eastAsia="Times New Roman" w:cstheme="minorHAnsi"/>
          <w:color w:val="000000" w:themeColor="text1"/>
        </w:rPr>
        <w:t>s (from low white blood cells</w:t>
      </w:r>
      <w:r w:rsidR="000621B7" w:rsidRPr="00B47F6B">
        <w:rPr>
          <w:rFonts w:eastAsia="Times New Roman" w:cstheme="minorHAnsi"/>
          <w:color w:val="000000" w:themeColor="text1"/>
        </w:rPr>
        <w:t>)</w:t>
      </w:r>
      <w:r w:rsidR="008B5D3D" w:rsidRPr="00B47F6B">
        <w:rPr>
          <w:rFonts w:eastAsia="Times New Roman" w:cstheme="minorHAnsi"/>
          <w:color w:val="000000" w:themeColor="text1"/>
        </w:rPr>
        <w:t>.</w:t>
      </w:r>
    </w:p>
    <w:p w14:paraId="6DEF9E81" w14:textId="18F21AD6" w:rsidR="00CF64E9" w:rsidRPr="00C27C65" w:rsidRDefault="00CF64E9" w:rsidP="00CF64E9">
      <w:pPr>
        <w:pStyle w:val="ListParagraph"/>
        <w:numPr>
          <w:ilvl w:val="0"/>
          <w:numId w:val="16"/>
        </w:numPr>
        <w:spacing w:after="0" w:line="240" w:lineRule="auto"/>
        <w:rPr>
          <w:rFonts w:eastAsia="Times New Roman" w:cstheme="minorHAnsi"/>
          <w:color w:val="000000" w:themeColor="text1"/>
        </w:rPr>
      </w:pPr>
      <w:r w:rsidRPr="00C27C65">
        <w:rPr>
          <w:rFonts w:eastAsia="Times New Roman" w:cstheme="minorHAnsi"/>
          <w:color w:val="000000" w:themeColor="text1"/>
        </w:rPr>
        <w:t>Ask learners what they would expect to see on a peripheral smear or a bone marrow biopsy in a patient with myelofibrosis</w:t>
      </w:r>
      <w:r w:rsidR="002343B2">
        <w:rPr>
          <w:rFonts w:eastAsia="Times New Roman" w:cstheme="minorHAnsi"/>
          <w:color w:val="000000" w:themeColor="text1"/>
        </w:rPr>
        <w:t xml:space="preserve">. </w:t>
      </w:r>
      <w:r w:rsidR="002343B2" w:rsidRPr="002343B2">
        <w:rPr>
          <w:rFonts w:eastAsia="Times New Roman" w:cstheme="minorHAnsi"/>
          <w:i/>
          <w:iCs/>
          <w:color w:val="000000" w:themeColor="text1"/>
        </w:rPr>
        <w:t>Click on each of these to reveal the answer.</w:t>
      </w:r>
      <w:r w:rsidR="002343B2">
        <w:rPr>
          <w:rFonts w:eastAsia="Times New Roman" w:cstheme="minorHAnsi"/>
          <w:color w:val="000000" w:themeColor="text1"/>
        </w:rPr>
        <w:t xml:space="preserve"> T</w:t>
      </w:r>
      <w:r w:rsidR="004E2117" w:rsidRPr="00C27C65">
        <w:rPr>
          <w:rFonts w:eastAsia="Times New Roman" w:cstheme="minorHAnsi"/>
          <w:color w:val="000000" w:themeColor="text1"/>
        </w:rPr>
        <w:t>eardrop cells (dacrocytes) a</w:t>
      </w:r>
      <w:r w:rsidR="002343B2">
        <w:rPr>
          <w:rFonts w:eastAsia="Times New Roman" w:cstheme="minorHAnsi"/>
          <w:color w:val="000000" w:themeColor="text1"/>
        </w:rPr>
        <w:t xml:space="preserve">nd a “dry tap” are classic findings. </w:t>
      </w:r>
    </w:p>
    <w:p w14:paraId="12F254CF" w14:textId="77777777" w:rsidR="00FA68C5" w:rsidRDefault="00CF64E9" w:rsidP="00576588">
      <w:pPr>
        <w:pStyle w:val="ListParagraph"/>
        <w:numPr>
          <w:ilvl w:val="0"/>
          <w:numId w:val="16"/>
        </w:numPr>
        <w:spacing w:after="0" w:line="240" w:lineRule="auto"/>
        <w:rPr>
          <w:rFonts w:eastAsia="Times New Roman" w:cstheme="minorHAnsi"/>
          <w:color w:val="000000" w:themeColor="text1"/>
        </w:rPr>
      </w:pPr>
      <w:r w:rsidRPr="002343B2">
        <w:rPr>
          <w:rFonts w:eastAsia="Times New Roman" w:cstheme="minorHAnsi"/>
          <w:i/>
          <w:iCs/>
          <w:color w:val="000000" w:themeColor="text1"/>
          <w:u w:val="single"/>
        </w:rPr>
        <w:t>Treatment</w:t>
      </w:r>
      <w:r w:rsidRPr="00C27C65">
        <w:rPr>
          <w:rFonts w:eastAsia="Times New Roman" w:cstheme="minorHAnsi"/>
          <w:i/>
          <w:iCs/>
          <w:color w:val="000000" w:themeColor="text1"/>
        </w:rPr>
        <w:t xml:space="preserve">: </w:t>
      </w:r>
      <w:r w:rsidR="000621B7" w:rsidRPr="00C27C65">
        <w:rPr>
          <w:rFonts w:eastAsia="Times New Roman" w:cstheme="minorHAnsi"/>
          <w:color w:val="000000" w:themeColor="text1"/>
        </w:rPr>
        <w:t xml:space="preserve">The only known curative treatment option for PMF is </w:t>
      </w:r>
      <w:r w:rsidRPr="00C27C65">
        <w:rPr>
          <w:rFonts w:eastAsia="Times New Roman" w:cstheme="minorHAnsi"/>
          <w:color w:val="000000" w:themeColor="text1"/>
        </w:rPr>
        <w:t xml:space="preserve">hematopoietic stem cell transplant. </w:t>
      </w:r>
      <w:r w:rsidR="000621B7" w:rsidRPr="00C27C65">
        <w:rPr>
          <w:rFonts w:eastAsia="Times New Roman" w:cstheme="minorHAnsi"/>
          <w:color w:val="000000" w:themeColor="text1"/>
        </w:rPr>
        <w:t>This is reserved for patients with poor prognostic features</w:t>
      </w:r>
      <w:r w:rsidR="00BD2C0E" w:rsidRPr="00C27C65">
        <w:rPr>
          <w:rFonts w:eastAsia="Times New Roman" w:cstheme="minorHAnsi"/>
          <w:color w:val="000000" w:themeColor="text1"/>
        </w:rPr>
        <w:t xml:space="preserve"> who are</w:t>
      </w:r>
      <w:r w:rsidR="000621B7" w:rsidRPr="00C27C65">
        <w:rPr>
          <w:rFonts w:eastAsia="Times New Roman" w:cstheme="minorHAnsi"/>
          <w:color w:val="000000" w:themeColor="text1"/>
        </w:rPr>
        <w:t xml:space="preserve"> good transplant candidate</w:t>
      </w:r>
      <w:r w:rsidR="004E2117" w:rsidRPr="00C27C65">
        <w:rPr>
          <w:rFonts w:eastAsia="Times New Roman" w:cstheme="minorHAnsi"/>
          <w:color w:val="000000" w:themeColor="text1"/>
        </w:rPr>
        <w:t>s</w:t>
      </w:r>
      <w:r w:rsidR="000621B7" w:rsidRPr="00C27C65">
        <w:rPr>
          <w:rFonts w:eastAsia="Times New Roman" w:cstheme="minorHAnsi"/>
          <w:color w:val="000000" w:themeColor="text1"/>
        </w:rPr>
        <w:t xml:space="preserve">. </w:t>
      </w:r>
      <w:r w:rsidR="00BD2C0E" w:rsidRPr="00C27C65">
        <w:rPr>
          <w:rFonts w:eastAsia="Times New Roman" w:cstheme="minorHAnsi"/>
          <w:color w:val="000000" w:themeColor="text1"/>
        </w:rPr>
        <w:t xml:space="preserve">Online tools exist to help predict outcomes and prognosis after HSCT (Here is an online example: </w:t>
      </w:r>
      <w:hyperlink r:id="rId5" w:history="1">
        <w:r w:rsidR="00BD2C0E" w:rsidRPr="00C27C65">
          <w:rPr>
            <w:rStyle w:val="Hyperlink"/>
            <w:rFonts w:eastAsia="Times New Roman" w:cstheme="minorHAnsi"/>
            <w:color w:val="000000" w:themeColor="text1"/>
          </w:rPr>
          <w:t>http://www.mipss70score.it/</w:t>
        </w:r>
      </w:hyperlink>
      <w:r w:rsidR="00BD2C0E" w:rsidRPr="00C27C65">
        <w:rPr>
          <w:rFonts w:eastAsia="Times New Roman" w:cstheme="minorHAnsi"/>
          <w:color w:val="000000" w:themeColor="text1"/>
        </w:rPr>
        <w:t xml:space="preserve">). </w:t>
      </w:r>
      <w:r w:rsidR="00576588" w:rsidRPr="00C27C65">
        <w:rPr>
          <w:rFonts w:eastAsia="Times New Roman" w:cstheme="minorHAnsi"/>
          <w:color w:val="000000" w:themeColor="text1"/>
        </w:rPr>
        <w:t xml:space="preserve"> </w:t>
      </w:r>
    </w:p>
    <w:p w14:paraId="71E51C62" w14:textId="49CDA239" w:rsidR="00FA68C5" w:rsidRDefault="00576588" w:rsidP="00FA68C5">
      <w:pPr>
        <w:pStyle w:val="ListParagraph"/>
        <w:numPr>
          <w:ilvl w:val="1"/>
          <w:numId w:val="16"/>
        </w:numPr>
        <w:spacing w:after="0" w:line="240" w:lineRule="auto"/>
        <w:rPr>
          <w:rFonts w:eastAsia="Times New Roman" w:cstheme="minorHAnsi"/>
          <w:color w:val="000000" w:themeColor="text1"/>
        </w:rPr>
      </w:pPr>
      <w:r w:rsidRPr="00C27C65">
        <w:rPr>
          <w:rFonts w:eastAsia="Times New Roman" w:cstheme="minorHAnsi"/>
          <w:color w:val="000000" w:themeColor="text1"/>
        </w:rPr>
        <w:t>Overall,</w:t>
      </w:r>
      <w:r w:rsidR="00952819" w:rsidRPr="00C27C65">
        <w:rPr>
          <w:rFonts w:eastAsia="Times New Roman" w:cstheme="minorHAnsi"/>
          <w:color w:val="000000" w:themeColor="text1"/>
        </w:rPr>
        <w:t xml:space="preserve"> If the patient has a good prognosis, the</w:t>
      </w:r>
      <w:r w:rsidRPr="00C27C65">
        <w:rPr>
          <w:rFonts w:eastAsia="Times New Roman" w:cstheme="minorHAnsi"/>
          <w:color w:val="000000" w:themeColor="text1"/>
        </w:rPr>
        <w:t>y</w:t>
      </w:r>
      <w:r w:rsidR="00952819" w:rsidRPr="00C27C65">
        <w:rPr>
          <w:rFonts w:eastAsia="Times New Roman" w:cstheme="minorHAnsi"/>
          <w:color w:val="000000" w:themeColor="text1"/>
        </w:rPr>
        <w:t xml:space="preserve"> </w:t>
      </w:r>
      <w:r w:rsidRPr="00C27C65">
        <w:rPr>
          <w:rFonts w:eastAsia="Times New Roman" w:cstheme="minorHAnsi"/>
          <w:color w:val="000000" w:themeColor="text1"/>
        </w:rPr>
        <w:t>may</w:t>
      </w:r>
      <w:r w:rsidR="00952819" w:rsidRPr="00C27C65">
        <w:rPr>
          <w:rFonts w:eastAsia="Times New Roman" w:cstheme="minorHAnsi"/>
          <w:color w:val="000000" w:themeColor="text1"/>
        </w:rPr>
        <w:t xml:space="preserve"> be monitored </w:t>
      </w:r>
      <w:r w:rsidRPr="00C27C65">
        <w:rPr>
          <w:rFonts w:eastAsia="Times New Roman" w:cstheme="minorHAnsi"/>
          <w:color w:val="000000" w:themeColor="text1"/>
        </w:rPr>
        <w:t>with active surveillance and symptom control for cytopenias with transfusions</w:t>
      </w:r>
      <w:r w:rsidR="00952819" w:rsidRPr="00C27C65">
        <w:rPr>
          <w:rFonts w:eastAsia="Times New Roman" w:cstheme="minorHAnsi"/>
          <w:color w:val="000000" w:themeColor="text1"/>
        </w:rPr>
        <w:t xml:space="preserve">. </w:t>
      </w:r>
      <w:r w:rsidR="00FA68C5">
        <w:rPr>
          <w:rFonts w:eastAsia="Times New Roman" w:cstheme="minorHAnsi"/>
          <w:color w:val="000000" w:themeColor="text1"/>
        </w:rPr>
        <w:t xml:space="preserve">EPO stimulating agents can be considered for patients with transfusion dependent anemia. </w:t>
      </w:r>
    </w:p>
    <w:p w14:paraId="54CCCDCB" w14:textId="256D6C6B" w:rsidR="00952819" w:rsidRPr="00C27C65" w:rsidRDefault="00CF64E9" w:rsidP="00FA68C5">
      <w:pPr>
        <w:pStyle w:val="ListParagraph"/>
        <w:numPr>
          <w:ilvl w:val="1"/>
          <w:numId w:val="16"/>
        </w:numPr>
        <w:spacing w:after="0" w:line="240" w:lineRule="auto"/>
        <w:rPr>
          <w:rFonts w:eastAsia="Times New Roman" w:cstheme="minorHAnsi"/>
          <w:color w:val="000000" w:themeColor="text1"/>
        </w:rPr>
      </w:pPr>
      <w:r w:rsidRPr="00C27C65">
        <w:rPr>
          <w:rFonts w:eastAsia="Times New Roman" w:cstheme="minorHAnsi"/>
          <w:color w:val="000000" w:themeColor="text1"/>
        </w:rPr>
        <w:t>If the patient is transplant ineligible</w:t>
      </w:r>
      <w:r w:rsidR="00576588" w:rsidRPr="00C27C65">
        <w:rPr>
          <w:rFonts w:eastAsia="Times New Roman" w:cstheme="minorHAnsi"/>
          <w:color w:val="000000" w:themeColor="text1"/>
        </w:rPr>
        <w:t xml:space="preserve"> with poor prognosis</w:t>
      </w:r>
      <w:r w:rsidRPr="00C27C65">
        <w:rPr>
          <w:rFonts w:eastAsia="Times New Roman" w:cstheme="minorHAnsi"/>
          <w:color w:val="000000" w:themeColor="text1"/>
        </w:rPr>
        <w:t>, you can consider Janus Kinase inhibitors</w:t>
      </w:r>
      <w:r w:rsidR="004E2117" w:rsidRPr="00C27C65">
        <w:rPr>
          <w:rFonts w:eastAsia="Times New Roman" w:cstheme="minorHAnsi"/>
          <w:color w:val="000000" w:themeColor="text1"/>
        </w:rPr>
        <w:t xml:space="preserve"> (such as </w:t>
      </w:r>
      <w:proofErr w:type="spellStart"/>
      <w:r w:rsidR="004E2117" w:rsidRPr="00C27C65">
        <w:rPr>
          <w:rFonts w:eastAsia="Times New Roman" w:cstheme="minorHAnsi"/>
          <w:color w:val="000000" w:themeColor="text1"/>
        </w:rPr>
        <w:t>ruxolitinib</w:t>
      </w:r>
      <w:proofErr w:type="spellEnd"/>
      <w:r w:rsidR="004E2117" w:rsidRPr="00C27C65">
        <w:rPr>
          <w:rFonts w:eastAsia="Times New Roman" w:cstheme="minorHAnsi"/>
          <w:color w:val="000000" w:themeColor="text1"/>
        </w:rPr>
        <w:t>)</w:t>
      </w:r>
      <w:r w:rsidRPr="00C27C65">
        <w:rPr>
          <w:rFonts w:eastAsia="Times New Roman" w:cstheme="minorHAnsi"/>
          <w:color w:val="000000" w:themeColor="text1"/>
        </w:rPr>
        <w:t xml:space="preserve"> or hydroxyurea.</w:t>
      </w:r>
    </w:p>
    <w:p w14:paraId="41EB91CF" w14:textId="77777777" w:rsidR="00952819" w:rsidRPr="00C27C65" w:rsidRDefault="00952819" w:rsidP="00952819">
      <w:pPr>
        <w:spacing w:after="0" w:line="240" w:lineRule="auto"/>
        <w:ind w:left="720"/>
        <w:rPr>
          <w:rFonts w:eastAsia="Times New Roman" w:cstheme="minorHAnsi"/>
          <w:b/>
          <w:color w:val="000000" w:themeColor="text1"/>
          <w:spacing w:val="4"/>
        </w:rPr>
      </w:pPr>
    </w:p>
    <w:p w14:paraId="75383679" w14:textId="77777777" w:rsidR="002343B2" w:rsidRPr="002343B2" w:rsidRDefault="004307AC" w:rsidP="009144AD">
      <w:pPr>
        <w:spacing w:after="0" w:line="240" w:lineRule="auto"/>
        <w:rPr>
          <w:rFonts w:eastAsia="Times New Roman" w:cstheme="minorHAnsi"/>
          <w:b/>
          <w:color w:val="000000" w:themeColor="text1"/>
          <w:spacing w:val="4"/>
          <w:u w:val="single"/>
        </w:rPr>
      </w:pPr>
      <w:r w:rsidRPr="002343B2">
        <w:rPr>
          <w:rFonts w:eastAsia="Times New Roman" w:cstheme="minorHAnsi"/>
          <w:b/>
          <w:color w:val="000000" w:themeColor="text1"/>
          <w:spacing w:val="4"/>
          <w:u w:val="single"/>
        </w:rPr>
        <w:t>Chronic myeloid leukemia</w:t>
      </w:r>
    </w:p>
    <w:p w14:paraId="04F9E0FD" w14:textId="0B25058F" w:rsidR="009132D6" w:rsidRPr="00C27C65" w:rsidRDefault="004307AC" w:rsidP="009144AD">
      <w:pPr>
        <w:spacing w:after="0" w:line="240" w:lineRule="auto"/>
        <w:rPr>
          <w:rFonts w:eastAsia="Times New Roman" w:cstheme="minorHAnsi"/>
          <w:color w:val="000000" w:themeColor="text1"/>
          <w:spacing w:val="4"/>
        </w:rPr>
      </w:pPr>
      <w:r w:rsidRPr="002343B2">
        <w:rPr>
          <w:rFonts w:eastAsia="Times New Roman" w:cstheme="minorHAnsi"/>
          <w:i/>
          <w:iCs/>
          <w:color w:val="000000" w:themeColor="text1"/>
          <w:spacing w:val="4"/>
        </w:rPr>
        <w:t>Ask your learners to come up with what they know about CML</w:t>
      </w:r>
      <w:r w:rsidR="002343B2">
        <w:rPr>
          <w:rFonts w:eastAsia="Times New Roman" w:cstheme="minorHAnsi"/>
          <w:i/>
          <w:iCs/>
          <w:color w:val="000000" w:themeColor="text1"/>
          <w:spacing w:val="4"/>
        </w:rPr>
        <w:t xml:space="preserve"> before clicking on “What is CML” to reveal the answer</w:t>
      </w:r>
      <w:r w:rsidRPr="002343B2">
        <w:rPr>
          <w:rFonts w:eastAsia="Times New Roman" w:cstheme="minorHAnsi"/>
          <w:i/>
          <w:iCs/>
          <w:color w:val="000000" w:themeColor="text1"/>
          <w:spacing w:val="4"/>
        </w:rPr>
        <w:t>.</w:t>
      </w:r>
      <w:r w:rsidRPr="00C27C65">
        <w:rPr>
          <w:rFonts w:eastAsia="Times New Roman" w:cstheme="minorHAnsi"/>
          <w:color w:val="000000" w:themeColor="text1"/>
          <w:spacing w:val="4"/>
        </w:rPr>
        <w:t xml:space="preserve"> CML is a malignancy associated with an increase in mature granulocytes (neutrophils, basophils, eosinophils). CML is associated with BCR-ABL fusion gene also known as the Philadelphia Chromosome. This mutation leads to an increase in tyrosine kinase activity. Although granulocytes in CML are morphologically normal, they are </w:t>
      </w:r>
      <w:proofErr w:type="spellStart"/>
      <w:r w:rsidRPr="00C27C65">
        <w:rPr>
          <w:rFonts w:eastAsia="Times New Roman" w:cstheme="minorHAnsi"/>
          <w:color w:val="000000" w:themeColor="text1"/>
          <w:spacing w:val="4"/>
        </w:rPr>
        <w:t>cytochemically</w:t>
      </w:r>
      <w:proofErr w:type="spellEnd"/>
      <w:r w:rsidRPr="00C27C65">
        <w:rPr>
          <w:rFonts w:eastAsia="Times New Roman" w:cstheme="minorHAnsi"/>
          <w:color w:val="000000" w:themeColor="text1"/>
          <w:spacing w:val="4"/>
        </w:rPr>
        <w:t xml:space="preserve"> abnormal and have a low leukocyte alkaline phosphatase</w:t>
      </w:r>
      <w:r w:rsidR="00952819" w:rsidRPr="00C27C65">
        <w:rPr>
          <w:rFonts w:eastAsia="Times New Roman" w:cstheme="minorHAnsi"/>
          <w:color w:val="000000" w:themeColor="text1"/>
          <w:spacing w:val="4"/>
        </w:rPr>
        <w:t xml:space="preserve"> (LAP)</w:t>
      </w:r>
      <w:r w:rsidRPr="00C27C65">
        <w:rPr>
          <w:rFonts w:eastAsia="Times New Roman" w:cstheme="minorHAnsi"/>
          <w:color w:val="000000" w:themeColor="text1"/>
          <w:spacing w:val="4"/>
        </w:rPr>
        <w:t xml:space="preserve"> score. </w:t>
      </w:r>
    </w:p>
    <w:p w14:paraId="617280E2" w14:textId="39085883" w:rsidR="00952819" w:rsidRPr="00C27C65" w:rsidRDefault="002343B2" w:rsidP="00952819">
      <w:pPr>
        <w:pStyle w:val="ListParagraph"/>
        <w:numPr>
          <w:ilvl w:val="0"/>
          <w:numId w:val="17"/>
        </w:numPr>
        <w:spacing w:after="0" w:line="240" w:lineRule="auto"/>
        <w:rPr>
          <w:rFonts w:eastAsia="Times New Roman" w:cstheme="minorHAnsi"/>
          <w:color w:val="000000" w:themeColor="text1"/>
        </w:rPr>
      </w:pPr>
      <w:r w:rsidRPr="002343B2">
        <w:rPr>
          <w:rFonts w:eastAsia="Times New Roman" w:cstheme="minorHAnsi"/>
          <w:i/>
          <w:iCs/>
          <w:color w:val="000000" w:themeColor="text1"/>
          <w:u w:val="single"/>
        </w:rPr>
        <w:t>Differential of leukocytosis</w:t>
      </w:r>
      <w:r w:rsidRPr="002343B2">
        <w:rPr>
          <w:rFonts w:eastAsia="Times New Roman" w:cstheme="minorHAnsi"/>
          <w:i/>
          <w:iCs/>
          <w:color w:val="000000" w:themeColor="text1"/>
        </w:rPr>
        <w:t>:</w:t>
      </w:r>
      <w:r w:rsidRPr="002343B2">
        <w:rPr>
          <w:rFonts w:eastAsia="Times New Roman" w:cstheme="minorHAnsi"/>
          <w:color w:val="000000" w:themeColor="text1"/>
        </w:rPr>
        <w:t xml:space="preserve"> </w:t>
      </w:r>
      <w:r w:rsidR="00952819" w:rsidRPr="002343B2">
        <w:rPr>
          <w:rFonts w:eastAsia="Times New Roman" w:cstheme="minorHAnsi"/>
          <w:color w:val="000000" w:themeColor="text1"/>
        </w:rPr>
        <w:t>Typ</w:t>
      </w:r>
      <w:r w:rsidR="00952819" w:rsidRPr="00C27C65">
        <w:rPr>
          <w:rFonts w:eastAsia="Times New Roman" w:cstheme="minorHAnsi"/>
          <w:color w:val="000000" w:themeColor="text1"/>
        </w:rPr>
        <w:t xml:space="preserve">ically, the work up for CML begins when leukocytosis is discovered on a complete blood count. Challenge learners to come up with a differential for leukocytosis including a leukemoid reaction (infections, stress, medications, tobacco use, </w:t>
      </w:r>
      <w:proofErr w:type="spellStart"/>
      <w:r w:rsidR="00952819" w:rsidRPr="00C27C65">
        <w:rPr>
          <w:rFonts w:eastAsia="Times New Roman" w:cstheme="minorHAnsi"/>
          <w:color w:val="000000" w:themeColor="text1"/>
        </w:rPr>
        <w:t>etc</w:t>
      </w:r>
      <w:proofErr w:type="spellEnd"/>
      <w:r w:rsidR="00952819" w:rsidRPr="00C27C65">
        <w:rPr>
          <w:rFonts w:eastAsia="Times New Roman" w:cstheme="minorHAnsi"/>
          <w:color w:val="000000" w:themeColor="text1"/>
        </w:rPr>
        <w:t xml:space="preserve">) vs malignant etiologies. </w:t>
      </w:r>
      <w:r w:rsidR="00BF4AFB" w:rsidRPr="00C27C65">
        <w:rPr>
          <w:rFonts w:eastAsia="Times New Roman" w:cstheme="minorHAnsi"/>
          <w:color w:val="000000" w:themeColor="text1"/>
        </w:rPr>
        <w:t>A history that may be more suspicious for CML include constitutional symptoms (</w:t>
      </w:r>
      <w:r w:rsidR="0000355B" w:rsidRPr="00C27C65">
        <w:rPr>
          <w:rFonts w:eastAsia="Times New Roman" w:cstheme="minorHAnsi"/>
          <w:color w:val="000000" w:themeColor="text1"/>
        </w:rPr>
        <w:t xml:space="preserve">weight loss, </w:t>
      </w:r>
      <w:r w:rsidR="00BF4AFB" w:rsidRPr="00C27C65">
        <w:rPr>
          <w:rFonts w:eastAsia="Times New Roman" w:cstheme="minorHAnsi"/>
          <w:color w:val="000000" w:themeColor="text1"/>
        </w:rPr>
        <w:t xml:space="preserve">fever, fatigue), </w:t>
      </w:r>
      <w:r w:rsidR="0000355B" w:rsidRPr="00C27C65">
        <w:rPr>
          <w:rFonts w:eastAsia="Times New Roman" w:cstheme="minorHAnsi"/>
          <w:color w:val="000000" w:themeColor="text1"/>
        </w:rPr>
        <w:t>abdominal fullness</w:t>
      </w:r>
      <w:r w:rsidR="00BF4AFB" w:rsidRPr="00C27C65">
        <w:rPr>
          <w:rFonts w:eastAsia="Times New Roman" w:cstheme="minorHAnsi"/>
          <w:color w:val="000000" w:themeColor="text1"/>
        </w:rPr>
        <w:t xml:space="preserve">. Labs that are suspicious for CML include </w:t>
      </w:r>
      <w:r w:rsidR="0000355B" w:rsidRPr="00C27C65">
        <w:rPr>
          <w:rFonts w:eastAsia="Times New Roman" w:cstheme="minorHAnsi"/>
          <w:color w:val="000000" w:themeColor="text1"/>
        </w:rPr>
        <w:t>neutrophilia with a left shift, basophilia, or eosinophilia without a clinical suspicion for a leukemoid reaction</w:t>
      </w:r>
      <w:r w:rsidR="00BF4AFB" w:rsidRPr="00C27C65">
        <w:rPr>
          <w:rFonts w:eastAsia="Times New Roman" w:cstheme="minorHAnsi"/>
          <w:color w:val="000000" w:themeColor="text1"/>
        </w:rPr>
        <w:t>.</w:t>
      </w:r>
      <w:r w:rsidR="009570A0" w:rsidRPr="00C27C65">
        <w:rPr>
          <w:rFonts w:eastAsia="Times New Roman" w:cstheme="minorHAnsi"/>
          <w:color w:val="000000" w:themeColor="text1"/>
        </w:rPr>
        <w:t xml:space="preserve"> Although the WBC can be high in CML (&gt;100,000)</w:t>
      </w:r>
      <w:r w:rsidR="001B59A6" w:rsidRPr="00C27C65">
        <w:rPr>
          <w:rFonts w:eastAsia="Times New Roman" w:cstheme="minorHAnsi"/>
          <w:color w:val="000000" w:themeColor="text1"/>
        </w:rPr>
        <w:t xml:space="preserve">, </w:t>
      </w:r>
      <w:proofErr w:type="spellStart"/>
      <w:r w:rsidR="001B59A6" w:rsidRPr="00C27C65">
        <w:rPr>
          <w:rFonts w:eastAsia="Times New Roman" w:cstheme="minorHAnsi"/>
          <w:color w:val="000000" w:themeColor="text1"/>
        </w:rPr>
        <w:t>leukostasis</w:t>
      </w:r>
      <w:proofErr w:type="spellEnd"/>
      <w:r w:rsidR="001B59A6" w:rsidRPr="00C27C65">
        <w:rPr>
          <w:rFonts w:eastAsia="Times New Roman" w:cstheme="minorHAnsi"/>
          <w:color w:val="000000" w:themeColor="text1"/>
        </w:rPr>
        <w:t xml:space="preserve"> is much </w:t>
      </w:r>
      <w:r w:rsidRPr="00C27C65">
        <w:rPr>
          <w:rFonts w:eastAsia="Times New Roman" w:cstheme="minorHAnsi"/>
          <w:color w:val="000000" w:themeColor="text1"/>
        </w:rPr>
        <w:t>rarer</w:t>
      </w:r>
      <w:r w:rsidR="001B59A6" w:rsidRPr="00C27C65">
        <w:rPr>
          <w:rFonts w:eastAsia="Times New Roman" w:cstheme="minorHAnsi"/>
          <w:color w:val="000000" w:themeColor="text1"/>
        </w:rPr>
        <w:t xml:space="preserve"> compared to similar WBC levels seen in acute leukemia</w:t>
      </w:r>
      <w:r>
        <w:rPr>
          <w:rFonts w:eastAsia="Times New Roman" w:cstheme="minorHAnsi"/>
          <w:color w:val="000000" w:themeColor="text1"/>
        </w:rPr>
        <w:t>.</w:t>
      </w:r>
    </w:p>
    <w:p w14:paraId="503FE510" w14:textId="72461812" w:rsidR="00BF4AFB" w:rsidRPr="00C27C65" w:rsidRDefault="00BF4AFB" w:rsidP="00BF4AFB">
      <w:pPr>
        <w:pStyle w:val="ListParagraph"/>
        <w:numPr>
          <w:ilvl w:val="0"/>
          <w:numId w:val="17"/>
        </w:numPr>
        <w:spacing w:after="0" w:line="240" w:lineRule="auto"/>
        <w:rPr>
          <w:rFonts w:eastAsia="Times New Roman" w:cstheme="minorHAnsi"/>
          <w:color w:val="000000" w:themeColor="text1"/>
        </w:rPr>
      </w:pPr>
      <w:r w:rsidRPr="002343B2">
        <w:rPr>
          <w:rFonts w:eastAsia="Times New Roman" w:cstheme="minorHAnsi"/>
          <w:i/>
          <w:iCs/>
          <w:color w:val="000000" w:themeColor="text1"/>
          <w:u w:val="single"/>
        </w:rPr>
        <w:t>Natural disease course of CML</w:t>
      </w:r>
      <w:r w:rsidRPr="00C27C65">
        <w:rPr>
          <w:rFonts w:eastAsia="Times New Roman" w:cstheme="minorHAnsi"/>
          <w:i/>
          <w:iCs/>
          <w:color w:val="000000" w:themeColor="text1"/>
        </w:rPr>
        <w:t xml:space="preserve">: </w:t>
      </w:r>
      <w:r w:rsidRPr="00C27C65">
        <w:rPr>
          <w:rFonts w:eastAsia="Times New Roman" w:cstheme="minorHAnsi"/>
          <w:color w:val="000000" w:themeColor="text1"/>
        </w:rPr>
        <w:t>That natural disease course of CML without treatment</w:t>
      </w:r>
      <w:r w:rsidRPr="00C27C65">
        <w:rPr>
          <w:rFonts w:eastAsia="Times New Roman" w:cstheme="minorHAnsi"/>
          <w:i/>
          <w:iCs/>
          <w:color w:val="000000" w:themeColor="text1"/>
        </w:rPr>
        <w:t xml:space="preserve"> </w:t>
      </w:r>
      <w:r w:rsidRPr="00C27C65">
        <w:rPr>
          <w:rFonts w:eastAsia="Times New Roman" w:cstheme="minorHAnsi"/>
          <w:color w:val="000000" w:themeColor="text1"/>
        </w:rPr>
        <w:t xml:space="preserve">includes a chronic phase, an accelerated phase, and a blast crisis (which can resemble acute leukemia). However, with treatment, </w:t>
      </w:r>
      <w:r w:rsidR="008B5D3D" w:rsidRPr="00C27C65">
        <w:rPr>
          <w:rFonts w:eastAsia="Times New Roman" w:cstheme="minorHAnsi"/>
          <w:color w:val="000000" w:themeColor="text1"/>
        </w:rPr>
        <w:t xml:space="preserve">many </w:t>
      </w:r>
      <w:r w:rsidRPr="00C27C65">
        <w:rPr>
          <w:rFonts w:eastAsia="Times New Roman" w:cstheme="minorHAnsi"/>
          <w:color w:val="000000" w:themeColor="text1"/>
        </w:rPr>
        <w:t xml:space="preserve">patients can have normal life expectancies. </w:t>
      </w:r>
      <w:r w:rsidRPr="00C27C65">
        <w:rPr>
          <w:rFonts w:eastAsia="Times New Roman" w:cstheme="minorHAnsi"/>
          <w:color w:val="000000" w:themeColor="text1"/>
          <w:spacing w:val="4"/>
        </w:rPr>
        <w:t>Most patients are diagnosed in the chronic phase (85% of patients) and can be asymptomatic when diagnosed.</w:t>
      </w:r>
    </w:p>
    <w:p w14:paraId="47A25942" w14:textId="5E7FD419" w:rsidR="00BF4AFB" w:rsidRPr="00C27C65" w:rsidRDefault="00BF4AFB" w:rsidP="00BF4AFB">
      <w:pPr>
        <w:pStyle w:val="ListParagraph"/>
        <w:numPr>
          <w:ilvl w:val="0"/>
          <w:numId w:val="17"/>
        </w:numPr>
        <w:spacing w:after="0" w:line="240" w:lineRule="auto"/>
        <w:rPr>
          <w:rFonts w:eastAsia="Times New Roman" w:cstheme="minorHAnsi"/>
          <w:color w:val="000000" w:themeColor="text1"/>
        </w:rPr>
      </w:pPr>
      <w:r w:rsidRPr="002343B2">
        <w:rPr>
          <w:rFonts w:eastAsia="Times New Roman" w:cstheme="minorHAnsi"/>
          <w:i/>
          <w:iCs/>
          <w:color w:val="000000" w:themeColor="text1"/>
          <w:u w:val="single"/>
        </w:rPr>
        <w:t>Treatment</w:t>
      </w:r>
      <w:r w:rsidRPr="00C27C65">
        <w:rPr>
          <w:rFonts w:eastAsia="Times New Roman" w:cstheme="minorHAnsi"/>
          <w:i/>
          <w:iCs/>
          <w:color w:val="000000" w:themeColor="text1"/>
        </w:rPr>
        <w:t xml:space="preserve">: </w:t>
      </w:r>
      <w:r w:rsidRPr="00C27C65">
        <w:rPr>
          <w:rFonts w:eastAsia="Times New Roman" w:cstheme="minorHAnsi"/>
          <w:color w:val="000000" w:themeColor="text1"/>
        </w:rPr>
        <w:t xml:space="preserve">The treatment for CML is typically a tyrosine kinase inhibitor (TKI). </w:t>
      </w:r>
      <w:r w:rsidR="006B4612" w:rsidRPr="00C27C65">
        <w:rPr>
          <w:rFonts w:eastAsia="Times New Roman" w:cstheme="minorHAnsi"/>
          <w:color w:val="000000" w:themeColor="text1"/>
        </w:rPr>
        <w:t xml:space="preserve">Imatinib was the first TKI approved for CML and revolutionized treatment for what was previously thought of as a fatal disease. </w:t>
      </w:r>
      <w:r w:rsidRPr="00C27C65">
        <w:rPr>
          <w:rFonts w:eastAsia="Times New Roman" w:cstheme="minorHAnsi"/>
          <w:color w:val="000000" w:themeColor="text1"/>
        </w:rPr>
        <w:t>There are</w:t>
      </w:r>
      <w:r w:rsidR="006B4612" w:rsidRPr="00C27C65">
        <w:rPr>
          <w:rFonts w:eastAsia="Times New Roman" w:cstheme="minorHAnsi"/>
          <w:color w:val="000000" w:themeColor="text1"/>
        </w:rPr>
        <w:t xml:space="preserve"> now</w:t>
      </w:r>
      <w:r w:rsidRPr="00C27C65">
        <w:rPr>
          <w:rFonts w:eastAsia="Times New Roman" w:cstheme="minorHAnsi"/>
          <w:color w:val="000000" w:themeColor="text1"/>
        </w:rPr>
        <w:t xml:space="preserve"> multiple approved </w:t>
      </w:r>
      <w:r w:rsidR="006B4612" w:rsidRPr="00C27C65">
        <w:rPr>
          <w:rFonts w:eastAsia="Times New Roman" w:cstheme="minorHAnsi"/>
          <w:color w:val="000000" w:themeColor="text1"/>
        </w:rPr>
        <w:t xml:space="preserve">next generation </w:t>
      </w:r>
      <w:r w:rsidRPr="00C27C65">
        <w:rPr>
          <w:rFonts w:eastAsia="Times New Roman" w:cstheme="minorHAnsi"/>
          <w:color w:val="000000" w:themeColor="text1"/>
        </w:rPr>
        <w:t xml:space="preserve">TKIs. </w:t>
      </w:r>
      <w:r w:rsidR="009570A0" w:rsidRPr="00C27C65">
        <w:rPr>
          <w:rFonts w:eastAsia="Times New Roman" w:cstheme="minorHAnsi"/>
          <w:color w:val="000000" w:themeColor="text1"/>
        </w:rPr>
        <w:t xml:space="preserve">If patients develop resistance to a TKI (seen on BCR/ABL1 testing), they may be switched to another TKI. </w:t>
      </w:r>
      <w:r w:rsidRPr="00C27C65">
        <w:rPr>
          <w:rFonts w:eastAsia="Times New Roman" w:cstheme="minorHAnsi"/>
          <w:color w:val="000000" w:themeColor="text1"/>
        </w:rPr>
        <w:t xml:space="preserve">Allogeneic stem cell transplantation is now very rare and only considered if the patient fails later lines of therapy. The blast phase of CML may require induction </w:t>
      </w:r>
      <w:r w:rsidRPr="00C27C65">
        <w:rPr>
          <w:rFonts w:eastAsia="Times New Roman" w:cstheme="minorHAnsi"/>
          <w:color w:val="000000" w:themeColor="text1"/>
        </w:rPr>
        <w:lastRenderedPageBreak/>
        <w:t>chemotherapy (like acute leukemia) in addition to TKI.</w:t>
      </w:r>
      <w:r w:rsidR="004E2117" w:rsidRPr="00C27C65">
        <w:rPr>
          <w:rFonts w:eastAsia="Times New Roman" w:cstheme="minorHAnsi"/>
          <w:color w:val="000000" w:themeColor="text1"/>
        </w:rPr>
        <w:t xml:space="preserve"> Patients can be monitored for BCR/ABL levels using the peripheral blood </w:t>
      </w:r>
      <w:proofErr w:type="gramStart"/>
      <w:r w:rsidR="004E2117" w:rsidRPr="00C27C65">
        <w:rPr>
          <w:rFonts w:eastAsia="Times New Roman" w:cstheme="minorHAnsi"/>
          <w:color w:val="000000" w:themeColor="text1"/>
        </w:rPr>
        <w:t>in order to</w:t>
      </w:r>
      <w:proofErr w:type="gramEnd"/>
      <w:r w:rsidR="004E2117" w:rsidRPr="00C27C65">
        <w:rPr>
          <w:rFonts w:eastAsia="Times New Roman" w:cstheme="minorHAnsi"/>
          <w:color w:val="000000" w:themeColor="text1"/>
        </w:rPr>
        <w:t xml:space="preserve"> track responses to treatment and need for resistance mutation testing.</w:t>
      </w:r>
    </w:p>
    <w:p w14:paraId="414020EE" w14:textId="3D35EDAE" w:rsidR="00CC67EF" w:rsidRDefault="002343B2" w:rsidP="00855B26">
      <w:pPr>
        <w:pStyle w:val="ListParagraph"/>
        <w:numPr>
          <w:ilvl w:val="0"/>
          <w:numId w:val="17"/>
        </w:numPr>
        <w:spacing w:after="0" w:line="240" w:lineRule="auto"/>
        <w:rPr>
          <w:rFonts w:eastAsia="Times New Roman" w:cstheme="minorHAnsi"/>
          <w:color w:val="000000" w:themeColor="text1"/>
        </w:rPr>
      </w:pPr>
      <w:r w:rsidRPr="002343B2">
        <w:rPr>
          <w:rFonts w:eastAsia="Times New Roman" w:cstheme="minorHAnsi"/>
          <w:i/>
          <w:iCs/>
          <w:color w:val="000000" w:themeColor="text1"/>
          <w:u w:val="single"/>
        </w:rPr>
        <w:t>Leukemias</w:t>
      </w:r>
      <w:r>
        <w:rPr>
          <w:rFonts w:eastAsia="Times New Roman" w:cstheme="minorHAnsi"/>
          <w:color w:val="000000" w:themeColor="text1"/>
        </w:rPr>
        <w:t xml:space="preserve"> - </w:t>
      </w:r>
      <w:r w:rsidR="00CA56CD">
        <w:rPr>
          <w:rStyle w:val="Emphasis"/>
        </w:rPr>
        <w:t xml:space="preserve">Click on the "Leukemias" button in the </w:t>
      </w:r>
      <w:proofErr w:type="gramStart"/>
      <w:r w:rsidR="00CA56CD">
        <w:rPr>
          <w:rStyle w:val="Emphasis"/>
        </w:rPr>
        <w:t>left hand</w:t>
      </w:r>
      <w:proofErr w:type="gramEnd"/>
      <w:r w:rsidR="00CA56CD">
        <w:rPr>
          <w:rStyle w:val="Emphasis"/>
        </w:rPr>
        <w:t xml:space="preserve"> table of contents to learn more about different types of leukemia. Click on each type of leukemia until the cursor disappears to learn more about demographic, diagnosis, and complications. </w:t>
      </w:r>
      <w:r w:rsidR="007F6A37" w:rsidRPr="00C27C65">
        <w:rPr>
          <w:rFonts w:eastAsia="Times New Roman" w:cstheme="minorHAnsi"/>
          <w:color w:val="000000" w:themeColor="text1"/>
        </w:rPr>
        <w:t xml:space="preserve">If the patient history </w:t>
      </w:r>
      <w:r w:rsidR="0000355B" w:rsidRPr="00C27C65">
        <w:rPr>
          <w:rFonts w:eastAsia="Times New Roman" w:cstheme="minorHAnsi"/>
          <w:color w:val="000000" w:themeColor="text1"/>
        </w:rPr>
        <w:t>and labs are concerning for malignant etiologi</w:t>
      </w:r>
      <w:r w:rsidR="004E2117" w:rsidRPr="00C27C65">
        <w:rPr>
          <w:rFonts w:eastAsia="Times New Roman" w:cstheme="minorHAnsi"/>
          <w:color w:val="000000" w:themeColor="text1"/>
        </w:rPr>
        <w:t>es</w:t>
      </w:r>
      <w:r w:rsidR="0000355B" w:rsidRPr="00C27C65">
        <w:rPr>
          <w:rFonts w:eastAsia="Times New Roman" w:cstheme="minorHAnsi"/>
          <w:color w:val="000000" w:themeColor="text1"/>
        </w:rPr>
        <w:t>, it will be important to further differentiate the four main types of leukemias – AML, CML, ALL, CLL. The following table helps to show the main findings on peripheral smear and bone marrow biopsy that you would expect to see in the four broad categories of leukemias.</w:t>
      </w:r>
      <w:r w:rsidR="006B4612" w:rsidRPr="00C27C65">
        <w:rPr>
          <w:rFonts w:eastAsia="Times New Roman" w:cstheme="minorHAnsi"/>
          <w:color w:val="000000" w:themeColor="text1"/>
        </w:rPr>
        <w:t xml:space="preserve"> It is important to highlight the classic smear findings in addition to </w:t>
      </w:r>
      <w:r w:rsidRPr="00C27C65">
        <w:rPr>
          <w:rFonts w:eastAsia="Times New Roman" w:cstheme="minorHAnsi"/>
          <w:color w:val="000000" w:themeColor="text1"/>
        </w:rPr>
        <w:t>number</w:t>
      </w:r>
      <w:r w:rsidR="006B4612" w:rsidRPr="00C27C65">
        <w:rPr>
          <w:rFonts w:eastAsia="Times New Roman" w:cstheme="minorHAnsi"/>
          <w:color w:val="000000" w:themeColor="text1"/>
        </w:rPr>
        <w:t xml:space="preserve"> of blasts in the bone marrow, demographics, and other unique features. Of note, acute leukemias may develop </w:t>
      </w:r>
      <w:proofErr w:type="spellStart"/>
      <w:r w:rsidR="006B4612" w:rsidRPr="00C27C65">
        <w:rPr>
          <w:rFonts w:eastAsia="Times New Roman" w:cstheme="minorHAnsi"/>
          <w:color w:val="000000" w:themeColor="text1"/>
        </w:rPr>
        <w:t>leukostasis</w:t>
      </w:r>
      <w:proofErr w:type="spellEnd"/>
      <w:r w:rsidR="006B4612" w:rsidRPr="00C27C65">
        <w:rPr>
          <w:rFonts w:eastAsia="Times New Roman" w:cstheme="minorHAnsi"/>
          <w:color w:val="000000" w:themeColor="text1"/>
        </w:rPr>
        <w:t xml:space="preserve"> or hyperleukocytosis, which are hematologic emergencies, but these complications are much less likely with CML and CLL (which often can tolerate higher WBC levels). </w:t>
      </w:r>
    </w:p>
    <w:p w14:paraId="58EC0958" w14:textId="4B688683" w:rsidR="00935077" w:rsidRDefault="00935077" w:rsidP="00935077">
      <w:pPr>
        <w:spacing w:after="0" w:line="240" w:lineRule="auto"/>
        <w:rPr>
          <w:rFonts w:eastAsia="Times New Roman" w:cstheme="minorHAnsi"/>
          <w:color w:val="000000" w:themeColor="text1"/>
        </w:rPr>
      </w:pPr>
    </w:p>
    <w:tbl>
      <w:tblPr>
        <w:tblStyle w:val="TableGrid"/>
        <w:tblW w:w="0" w:type="auto"/>
        <w:tblLook w:val="04A0" w:firstRow="1" w:lastRow="0" w:firstColumn="1" w:lastColumn="0" w:noHBand="0" w:noVBand="1"/>
      </w:tblPr>
      <w:tblGrid>
        <w:gridCol w:w="1870"/>
        <w:gridCol w:w="1870"/>
        <w:gridCol w:w="1870"/>
        <w:gridCol w:w="1870"/>
        <w:gridCol w:w="1870"/>
      </w:tblGrid>
      <w:tr w:rsidR="00935077" w:rsidRPr="00935077" w14:paraId="079F3D41" w14:textId="77777777" w:rsidTr="00935077">
        <w:tc>
          <w:tcPr>
            <w:tcW w:w="1870" w:type="dxa"/>
          </w:tcPr>
          <w:p w14:paraId="0FE5C904" w14:textId="77777777" w:rsidR="00935077" w:rsidRPr="00935077" w:rsidRDefault="00935077" w:rsidP="00935077">
            <w:pPr>
              <w:jc w:val="center"/>
              <w:rPr>
                <w:rFonts w:eastAsia="Times New Roman" w:cstheme="minorHAnsi"/>
                <w:b/>
                <w:bCs/>
                <w:color w:val="000000" w:themeColor="text1"/>
              </w:rPr>
            </w:pPr>
          </w:p>
        </w:tc>
        <w:tc>
          <w:tcPr>
            <w:tcW w:w="1870" w:type="dxa"/>
          </w:tcPr>
          <w:p w14:paraId="7D5D651B" w14:textId="28A96941" w:rsidR="00935077" w:rsidRPr="00935077" w:rsidRDefault="00935077" w:rsidP="00935077">
            <w:pPr>
              <w:jc w:val="center"/>
              <w:rPr>
                <w:rFonts w:eastAsia="Times New Roman" w:cstheme="minorHAnsi"/>
                <w:b/>
                <w:bCs/>
                <w:color w:val="000000" w:themeColor="text1"/>
              </w:rPr>
            </w:pPr>
            <w:r w:rsidRPr="00935077">
              <w:rPr>
                <w:rFonts w:eastAsia="Times New Roman" w:cstheme="minorHAnsi"/>
                <w:b/>
                <w:bCs/>
                <w:color w:val="000000" w:themeColor="text1"/>
              </w:rPr>
              <w:t>AML</w:t>
            </w:r>
          </w:p>
        </w:tc>
        <w:tc>
          <w:tcPr>
            <w:tcW w:w="1870" w:type="dxa"/>
          </w:tcPr>
          <w:p w14:paraId="02FCC808" w14:textId="0C3D5CA4" w:rsidR="00935077" w:rsidRPr="00935077" w:rsidRDefault="00935077" w:rsidP="00935077">
            <w:pPr>
              <w:jc w:val="center"/>
              <w:rPr>
                <w:rFonts w:eastAsia="Times New Roman" w:cstheme="minorHAnsi"/>
                <w:b/>
                <w:bCs/>
                <w:color w:val="000000" w:themeColor="text1"/>
              </w:rPr>
            </w:pPr>
            <w:r w:rsidRPr="00935077">
              <w:rPr>
                <w:rFonts w:eastAsia="Times New Roman" w:cstheme="minorHAnsi"/>
                <w:b/>
                <w:bCs/>
                <w:color w:val="000000" w:themeColor="text1"/>
              </w:rPr>
              <w:t>CML</w:t>
            </w:r>
          </w:p>
        </w:tc>
        <w:tc>
          <w:tcPr>
            <w:tcW w:w="1870" w:type="dxa"/>
          </w:tcPr>
          <w:p w14:paraId="36927AE7" w14:textId="36C8B0AF" w:rsidR="00935077" w:rsidRPr="00935077" w:rsidRDefault="00935077" w:rsidP="00935077">
            <w:pPr>
              <w:jc w:val="center"/>
              <w:rPr>
                <w:rFonts w:eastAsia="Times New Roman" w:cstheme="minorHAnsi"/>
                <w:b/>
                <w:bCs/>
                <w:color w:val="000000" w:themeColor="text1"/>
              </w:rPr>
            </w:pPr>
            <w:r w:rsidRPr="00935077">
              <w:rPr>
                <w:rFonts w:eastAsia="Times New Roman" w:cstheme="minorHAnsi"/>
                <w:b/>
                <w:bCs/>
                <w:color w:val="000000" w:themeColor="text1"/>
              </w:rPr>
              <w:t>ALL</w:t>
            </w:r>
          </w:p>
        </w:tc>
        <w:tc>
          <w:tcPr>
            <w:tcW w:w="1870" w:type="dxa"/>
          </w:tcPr>
          <w:p w14:paraId="2C81B8E7" w14:textId="6C6DAF1E" w:rsidR="00935077" w:rsidRPr="00935077" w:rsidRDefault="00935077" w:rsidP="00935077">
            <w:pPr>
              <w:jc w:val="center"/>
              <w:rPr>
                <w:rFonts w:eastAsia="Times New Roman" w:cstheme="minorHAnsi"/>
                <w:b/>
                <w:bCs/>
                <w:color w:val="000000" w:themeColor="text1"/>
              </w:rPr>
            </w:pPr>
            <w:r w:rsidRPr="00935077">
              <w:rPr>
                <w:rFonts w:eastAsia="Times New Roman" w:cstheme="minorHAnsi"/>
                <w:b/>
                <w:bCs/>
                <w:color w:val="000000" w:themeColor="text1"/>
              </w:rPr>
              <w:t>CLL</w:t>
            </w:r>
          </w:p>
        </w:tc>
      </w:tr>
      <w:tr w:rsidR="00935077" w14:paraId="60650879" w14:textId="77777777" w:rsidTr="00935077">
        <w:tc>
          <w:tcPr>
            <w:tcW w:w="1870" w:type="dxa"/>
          </w:tcPr>
          <w:p w14:paraId="02FD9719" w14:textId="21D1DCE3" w:rsidR="00935077" w:rsidRDefault="00935077" w:rsidP="00935077">
            <w:pPr>
              <w:jc w:val="center"/>
              <w:rPr>
                <w:rFonts w:eastAsia="Times New Roman" w:cstheme="minorHAnsi"/>
                <w:color w:val="000000" w:themeColor="text1"/>
              </w:rPr>
            </w:pPr>
            <w:r>
              <w:rPr>
                <w:rFonts w:eastAsia="Times New Roman" w:cstheme="minorHAnsi"/>
                <w:color w:val="000000" w:themeColor="text1"/>
              </w:rPr>
              <w:t>Peripheral smear</w:t>
            </w:r>
          </w:p>
        </w:tc>
        <w:tc>
          <w:tcPr>
            <w:tcW w:w="1870" w:type="dxa"/>
          </w:tcPr>
          <w:p w14:paraId="47E016D3" w14:textId="77777777" w:rsidR="00935077" w:rsidRDefault="00935077" w:rsidP="00935077">
            <w:pPr>
              <w:jc w:val="center"/>
              <w:rPr>
                <w:rFonts w:eastAsia="Times New Roman" w:cstheme="minorHAnsi"/>
                <w:color w:val="000000" w:themeColor="text1"/>
              </w:rPr>
            </w:pPr>
            <w:r>
              <w:rPr>
                <w:rFonts w:eastAsia="Times New Roman" w:cstheme="minorHAnsi"/>
                <w:color w:val="000000" w:themeColor="text1"/>
              </w:rPr>
              <w:t>Myeloblasts</w:t>
            </w:r>
          </w:p>
          <w:p w14:paraId="559A3B33" w14:textId="5CE82741" w:rsidR="00935077" w:rsidRDefault="00935077" w:rsidP="00935077">
            <w:pPr>
              <w:jc w:val="center"/>
              <w:rPr>
                <w:rFonts w:eastAsia="Times New Roman" w:cstheme="minorHAnsi"/>
                <w:color w:val="000000" w:themeColor="text1"/>
              </w:rPr>
            </w:pPr>
            <w:r>
              <w:rPr>
                <w:rFonts w:eastAsia="Times New Roman" w:cstheme="minorHAnsi"/>
                <w:color w:val="000000" w:themeColor="text1"/>
              </w:rPr>
              <w:t>Auer rods</w:t>
            </w:r>
          </w:p>
        </w:tc>
        <w:tc>
          <w:tcPr>
            <w:tcW w:w="1870" w:type="dxa"/>
          </w:tcPr>
          <w:p w14:paraId="56C1AAB7" w14:textId="77777777" w:rsidR="00935077" w:rsidRDefault="00935077" w:rsidP="00935077">
            <w:pPr>
              <w:jc w:val="center"/>
              <w:rPr>
                <w:rFonts w:eastAsia="Times New Roman" w:cstheme="minorHAnsi"/>
                <w:color w:val="000000" w:themeColor="text1"/>
              </w:rPr>
            </w:pPr>
            <w:r>
              <w:rPr>
                <w:rFonts w:eastAsia="Times New Roman" w:cstheme="minorHAnsi"/>
                <w:color w:val="000000" w:themeColor="text1"/>
              </w:rPr>
              <w:t>Eosinophilia/ basophilia</w:t>
            </w:r>
          </w:p>
          <w:p w14:paraId="18DDF850" w14:textId="4F5F4ED7" w:rsidR="00935077" w:rsidRDefault="00935077" w:rsidP="00935077">
            <w:pPr>
              <w:jc w:val="center"/>
              <w:rPr>
                <w:rFonts w:eastAsia="Times New Roman" w:cstheme="minorHAnsi"/>
                <w:color w:val="000000" w:themeColor="text1"/>
              </w:rPr>
            </w:pPr>
            <w:r>
              <w:rPr>
                <w:rFonts w:eastAsia="Times New Roman" w:cstheme="minorHAnsi"/>
                <w:color w:val="000000" w:themeColor="text1"/>
              </w:rPr>
              <w:t>Median WBC 100k</w:t>
            </w:r>
          </w:p>
        </w:tc>
        <w:tc>
          <w:tcPr>
            <w:tcW w:w="1870" w:type="dxa"/>
          </w:tcPr>
          <w:p w14:paraId="168BC4F2" w14:textId="7CCCB8E9" w:rsidR="00935077" w:rsidRDefault="00935077" w:rsidP="00935077">
            <w:pPr>
              <w:jc w:val="center"/>
              <w:rPr>
                <w:rFonts w:eastAsia="Times New Roman" w:cstheme="minorHAnsi"/>
                <w:color w:val="000000" w:themeColor="text1"/>
              </w:rPr>
            </w:pPr>
            <w:r>
              <w:rPr>
                <w:rFonts w:eastAsia="Times New Roman" w:cstheme="minorHAnsi"/>
                <w:color w:val="000000" w:themeColor="text1"/>
              </w:rPr>
              <w:t>Lymphoblasts</w:t>
            </w:r>
          </w:p>
        </w:tc>
        <w:tc>
          <w:tcPr>
            <w:tcW w:w="1870" w:type="dxa"/>
          </w:tcPr>
          <w:p w14:paraId="42293CFB" w14:textId="561AB78F" w:rsidR="00935077" w:rsidRDefault="00935077" w:rsidP="00935077">
            <w:pPr>
              <w:jc w:val="center"/>
              <w:rPr>
                <w:rFonts w:eastAsia="Times New Roman" w:cstheme="minorHAnsi"/>
                <w:color w:val="000000" w:themeColor="text1"/>
              </w:rPr>
            </w:pPr>
            <w:r>
              <w:rPr>
                <w:rFonts w:eastAsia="Times New Roman" w:cstheme="minorHAnsi"/>
                <w:color w:val="000000" w:themeColor="text1"/>
              </w:rPr>
              <w:t xml:space="preserve">Lymphocytosis </w:t>
            </w:r>
          </w:p>
          <w:p w14:paraId="0B0F2E04" w14:textId="6B244888" w:rsidR="00935077" w:rsidRDefault="00935077" w:rsidP="00935077">
            <w:pPr>
              <w:jc w:val="center"/>
              <w:rPr>
                <w:rFonts w:eastAsia="Times New Roman" w:cstheme="minorHAnsi"/>
                <w:color w:val="000000" w:themeColor="text1"/>
              </w:rPr>
            </w:pPr>
            <w:r>
              <w:rPr>
                <w:rFonts w:eastAsia="Times New Roman" w:cstheme="minorHAnsi"/>
                <w:color w:val="000000" w:themeColor="text1"/>
              </w:rPr>
              <w:t>Smudge cells</w:t>
            </w:r>
          </w:p>
        </w:tc>
      </w:tr>
      <w:tr w:rsidR="00935077" w14:paraId="4A84D4EA" w14:textId="77777777" w:rsidTr="00935077">
        <w:tc>
          <w:tcPr>
            <w:tcW w:w="1870" w:type="dxa"/>
          </w:tcPr>
          <w:p w14:paraId="39A1FC68" w14:textId="526561C7" w:rsidR="00935077" w:rsidRDefault="00935077" w:rsidP="00935077">
            <w:pPr>
              <w:jc w:val="center"/>
              <w:rPr>
                <w:rFonts w:eastAsia="Times New Roman" w:cstheme="minorHAnsi"/>
                <w:color w:val="000000" w:themeColor="text1"/>
              </w:rPr>
            </w:pPr>
            <w:r>
              <w:rPr>
                <w:rFonts w:eastAsia="Times New Roman" w:cstheme="minorHAnsi"/>
                <w:color w:val="000000" w:themeColor="text1"/>
              </w:rPr>
              <w:t>Bone marrow</w:t>
            </w:r>
          </w:p>
        </w:tc>
        <w:tc>
          <w:tcPr>
            <w:tcW w:w="1870" w:type="dxa"/>
          </w:tcPr>
          <w:p w14:paraId="165CF9AD" w14:textId="1A4AF616" w:rsidR="00935077" w:rsidRDefault="00935077" w:rsidP="00935077">
            <w:pPr>
              <w:jc w:val="center"/>
              <w:rPr>
                <w:rFonts w:eastAsia="Times New Roman" w:cstheme="minorHAnsi"/>
                <w:color w:val="000000" w:themeColor="text1"/>
              </w:rPr>
            </w:pPr>
            <w:r>
              <w:rPr>
                <w:rFonts w:eastAsia="Times New Roman" w:cstheme="minorHAnsi"/>
                <w:color w:val="000000" w:themeColor="text1"/>
              </w:rPr>
              <w:t>&gt;20% myeloblasts</w:t>
            </w:r>
          </w:p>
        </w:tc>
        <w:tc>
          <w:tcPr>
            <w:tcW w:w="1870" w:type="dxa"/>
          </w:tcPr>
          <w:p w14:paraId="2BAC8493" w14:textId="77777777" w:rsidR="00935077" w:rsidRDefault="00935077" w:rsidP="00935077">
            <w:pPr>
              <w:jc w:val="center"/>
              <w:rPr>
                <w:rFonts w:eastAsia="Times New Roman" w:cstheme="minorHAnsi"/>
                <w:color w:val="000000" w:themeColor="text1"/>
              </w:rPr>
            </w:pPr>
            <w:r>
              <w:rPr>
                <w:rFonts w:eastAsia="Times New Roman" w:cstheme="minorHAnsi"/>
                <w:color w:val="000000" w:themeColor="text1"/>
              </w:rPr>
              <w:t>Granulocytic hyperplasia</w:t>
            </w:r>
          </w:p>
          <w:p w14:paraId="07E317CD" w14:textId="14390D6B" w:rsidR="00935077" w:rsidRDefault="00935077" w:rsidP="00935077">
            <w:pPr>
              <w:jc w:val="center"/>
              <w:rPr>
                <w:rFonts w:eastAsia="Times New Roman" w:cstheme="minorHAnsi"/>
                <w:color w:val="000000" w:themeColor="text1"/>
              </w:rPr>
            </w:pPr>
            <w:proofErr w:type="gramStart"/>
            <w:r>
              <w:rPr>
                <w:rFonts w:eastAsia="Times New Roman" w:cstheme="minorHAnsi"/>
                <w:color w:val="000000" w:themeColor="text1"/>
              </w:rPr>
              <w:t>Typically</w:t>
            </w:r>
            <w:proofErr w:type="gramEnd"/>
            <w:r>
              <w:rPr>
                <w:rFonts w:eastAsia="Times New Roman" w:cstheme="minorHAnsi"/>
                <w:color w:val="000000" w:themeColor="text1"/>
              </w:rPr>
              <w:t xml:space="preserve"> &lt;20% myeloblasts</w:t>
            </w:r>
          </w:p>
        </w:tc>
        <w:tc>
          <w:tcPr>
            <w:tcW w:w="1870" w:type="dxa"/>
          </w:tcPr>
          <w:p w14:paraId="63E74C27" w14:textId="77777777" w:rsidR="00935077" w:rsidRDefault="00935077" w:rsidP="00935077">
            <w:pPr>
              <w:jc w:val="center"/>
              <w:rPr>
                <w:rFonts w:eastAsia="Times New Roman" w:cstheme="minorHAnsi"/>
                <w:color w:val="000000" w:themeColor="text1"/>
              </w:rPr>
            </w:pPr>
            <w:r>
              <w:rPr>
                <w:rFonts w:eastAsia="Times New Roman" w:cstheme="minorHAnsi"/>
                <w:color w:val="000000" w:themeColor="text1"/>
              </w:rPr>
              <w:t>&gt;20% lymphoblasts</w:t>
            </w:r>
          </w:p>
          <w:p w14:paraId="2E14BE8F" w14:textId="7370BB63" w:rsidR="00935077" w:rsidRDefault="00935077" w:rsidP="00935077">
            <w:pPr>
              <w:jc w:val="center"/>
              <w:rPr>
                <w:rFonts w:eastAsia="Times New Roman" w:cstheme="minorHAnsi"/>
                <w:color w:val="000000" w:themeColor="text1"/>
              </w:rPr>
            </w:pPr>
          </w:p>
        </w:tc>
        <w:tc>
          <w:tcPr>
            <w:tcW w:w="1870" w:type="dxa"/>
          </w:tcPr>
          <w:p w14:paraId="044FA87B" w14:textId="77777777" w:rsidR="00935077" w:rsidRDefault="00935077" w:rsidP="00935077">
            <w:pPr>
              <w:jc w:val="center"/>
              <w:rPr>
                <w:rFonts w:eastAsia="Times New Roman" w:cstheme="minorHAnsi"/>
                <w:color w:val="000000" w:themeColor="text1"/>
              </w:rPr>
            </w:pPr>
            <w:r>
              <w:rPr>
                <w:rFonts w:eastAsia="Times New Roman" w:cstheme="minorHAnsi"/>
                <w:color w:val="000000" w:themeColor="text1"/>
              </w:rPr>
              <w:t>Lymphocytic hyperplasia</w:t>
            </w:r>
          </w:p>
          <w:p w14:paraId="6CDF386E" w14:textId="14BA241F" w:rsidR="00935077" w:rsidRDefault="00935077" w:rsidP="00935077">
            <w:pPr>
              <w:jc w:val="center"/>
              <w:rPr>
                <w:rFonts w:eastAsia="Times New Roman" w:cstheme="minorHAnsi"/>
                <w:color w:val="000000" w:themeColor="text1"/>
              </w:rPr>
            </w:pPr>
          </w:p>
        </w:tc>
      </w:tr>
      <w:tr w:rsidR="00935077" w14:paraId="67AA266E" w14:textId="77777777" w:rsidTr="00935077">
        <w:tc>
          <w:tcPr>
            <w:tcW w:w="1870" w:type="dxa"/>
          </w:tcPr>
          <w:p w14:paraId="26F35239" w14:textId="61CED09E" w:rsidR="00935077" w:rsidRDefault="00935077" w:rsidP="00935077">
            <w:pPr>
              <w:jc w:val="center"/>
              <w:rPr>
                <w:rFonts w:eastAsia="Times New Roman" w:cstheme="minorHAnsi"/>
                <w:color w:val="000000" w:themeColor="text1"/>
              </w:rPr>
            </w:pPr>
            <w:r>
              <w:rPr>
                <w:rFonts w:eastAsia="Times New Roman" w:cstheme="minorHAnsi"/>
                <w:color w:val="000000" w:themeColor="text1"/>
              </w:rPr>
              <w:t>Demographic</w:t>
            </w:r>
          </w:p>
        </w:tc>
        <w:tc>
          <w:tcPr>
            <w:tcW w:w="1870" w:type="dxa"/>
          </w:tcPr>
          <w:p w14:paraId="5FA61645" w14:textId="72500B82" w:rsidR="00935077" w:rsidRDefault="00935077" w:rsidP="00935077">
            <w:pPr>
              <w:jc w:val="center"/>
              <w:rPr>
                <w:rFonts w:eastAsia="Times New Roman" w:cstheme="minorHAnsi"/>
                <w:color w:val="000000" w:themeColor="text1"/>
              </w:rPr>
            </w:pPr>
            <w:r>
              <w:rPr>
                <w:rFonts w:eastAsia="Times New Roman" w:cstheme="minorHAnsi"/>
                <w:color w:val="000000" w:themeColor="text1"/>
              </w:rPr>
              <w:t>Adults &gt; children</w:t>
            </w:r>
          </w:p>
        </w:tc>
        <w:tc>
          <w:tcPr>
            <w:tcW w:w="1870" w:type="dxa"/>
          </w:tcPr>
          <w:p w14:paraId="01B12C70" w14:textId="36A73213" w:rsidR="00935077" w:rsidRDefault="00935077" w:rsidP="00935077">
            <w:pPr>
              <w:jc w:val="center"/>
              <w:rPr>
                <w:rFonts w:eastAsia="Times New Roman" w:cstheme="minorHAnsi"/>
                <w:color w:val="000000" w:themeColor="text1"/>
              </w:rPr>
            </w:pPr>
            <w:r>
              <w:rPr>
                <w:rFonts w:eastAsia="Times New Roman" w:cstheme="minorHAnsi"/>
                <w:color w:val="000000" w:themeColor="text1"/>
              </w:rPr>
              <w:t>Median age 50</w:t>
            </w:r>
          </w:p>
        </w:tc>
        <w:tc>
          <w:tcPr>
            <w:tcW w:w="1870" w:type="dxa"/>
          </w:tcPr>
          <w:p w14:paraId="0502703A" w14:textId="77777777" w:rsidR="00935077" w:rsidRDefault="00935077" w:rsidP="00935077">
            <w:pPr>
              <w:jc w:val="center"/>
              <w:rPr>
                <w:rFonts w:eastAsia="Times New Roman" w:cstheme="minorHAnsi"/>
                <w:color w:val="000000" w:themeColor="text1"/>
              </w:rPr>
            </w:pPr>
          </w:p>
        </w:tc>
        <w:tc>
          <w:tcPr>
            <w:tcW w:w="1870" w:type="dxa"/>
          </w:tcPr>
          <w:p w14:paraId="499802A4" w14:textId="77777777" w:rsidR="00935077" w:rsidRDefault="00935077" w:rsidP="00935077">
            <w:pPr>
              <w:jc w:val="center"/>
              <w:rPr>
                <w:rFonts w:eastAsia="Times New Roman" w:cstheme="minorHAnsi"/>
                <w:color w:val="000000" w:themeColor="text1"/>
              </w:rPr>
            </w:pPr>
          </w:p>
        </w:tc>
      </w:tr>
      <w:tr w:rsidR="00935077" w14:paraId="0E510E35" w14:textId="77777777" w:rsidTr="00935077">
        <w:tc>
          <w:tcPr>
            <w:tcW w:w="1870" w:type="dxa"/>
          </w:tcPr>
          <w:p w14:paraId="17C00193" w14:textId="24DE09CC" w:rsidR="00935077" w:rsidRDefault="00935077" w:rsidP="00935077">
            <w:pPr>
              <w:jc w:val="center"/>
              <w:rPr>
                <w:rFonts w:eastAsia="Times New Roman" w:cstheme="minorHAnsi"/>
                <w:color w:val="000000" w:themeColor="text1"/>
              </w:rPr>
            </w:pPr>
            <w:r>
              <w:rPr>
                <w:rFonts w:eastAsia="Times New Roman" w:cstheme="minorHAnsi"/>
                <w:color w:val="000000" w:themeColor="text1"/>
              </w:rPr>
              <w:t>Unique features</w:t>
            </w:r>
          </w:p>
        </w:tc>
        <w:tc>
          <w:tcPr>
            <w:tcW w:w="1870" w:type="dxa"/>
          </w:tcPr>
          <w:p w14:paraId="3843E83E" w14:textId="77777777" w:rsidR="00935077" w:rsidRPr="00935077" w:rsidRDefault="00935077" w:rsidP="00935077">
            <w:pPr>
              <w:jc w:val="center"/>
              <w:rPr>
                <w:rFonts w:eastAsia="Times New Roman" w:cstheme="minorHAnsi"/>
                <w:color w:val="000000" w:themeColor="text1"/>
              </w:rPr>
            </w:pPr>
            <w:r w:rsidRPr="00935077">
              <w:rPr>
                <w:rFonts w:eastAsia="Times New Roman" w:cstheme="minorHAnsi"/>
                <w:color w:val="000000" w:themeColor="text1"/>
              </w:rPr>
              <w:t>DIC (especially in APML)</w:t>
            </w:r>
          </w:p>
          <w:p w14:paraId="3C091D0D" w14:textId="77777777" w:rsidR="00935077" w:rsidRDefault="00935077" w:rsidP="00935077">
            <w:pPr>
              <w:jc w:val="center"/>
              <w:rPr>
                <w:rFonts w:eastAsia="Times New Roman" w:cstheme="minorHAnsi"/>
                <w:color w:val="000000" w:themeColor="text1"/>
              </w:rPr>
            </w:pPr>
          </w:p>
        </w:tc>
        <w:tc>
          <w:tcPr>
            <w:tcW w:w="1870" w:type="dxa"/>
          </w:tcPr>
          <w:p w14:paraId="2F3FDCA4" w14:textId="77777777" w:rsidR="00935077" w:rsidRPr="00935077" w:rsidRDefault="00935077" w:rsidP="00935077">
            <w:pPr>
              <w:jc w:val="center"/>
              <w:rPr>
                <w:rFonts w:eastAsia="Times New Roman" w:cstheme="minorHAnsi"/>
                <w:color w:val="000000" w:themeColor="text1"/>
              </w:rPr>
            </w:pPr>
            <w:proofErr w:type="gramStart"/>
            <w:r w:rsidRPr="00935077">
              <w:rPr>
                <w:rFonts w:eastAsia="Times New Roman" w:cstheme="minorHAnsi"/>
                <w:color w:val="000000" w:themeColor="text1"/>
              </w:rPr>
              <w:t>T(</w:t>
            </w:r>
            <w:proofErr w:type="gramEnd"/>
            <w:r w:rsidRPr="00935077">
              <w:rPr>
                <w:rFonts w:eastAsia="Times New Roman" w:cstheme="minorHAnsi"/>
                <w:color w:val="000000" w:themeColor="text1"/>
              </w:rPr>
              <w:t>9;22) BCR-ABL1 fusion</w:t>
            </w:r>
          </w:p>
          <w:p w14:paraId="44AC49DB" w14:textId="77777777" w:rsidR="00935077" w:rsidRDefault="00935077" w:rsidP="00935077">
            <w:pPr>
              <w:jc w:val="center"/>
              <w:rPr>
                <w:rFonts w:eastAsia="Times New Roman" w:cstheme="minorHAnsi"/>
                <w:color w:val="000000" w:themeColor="text1"/>
              </w:rPr>
            </w:pPr>
          </w:p>
        </w:tc>
        <w:tc>
          <w:tcPr>
            <w:tcW w:w="1870" w:type="dxa"/>
          </w:tcPr>
          <w:p w14:paraId="0B33A4EA" w14:textId="77777777" w:rsidR="00935077" w:rsidRDefault="00935077" w:rsidP="00935077">
            <w:pPr>
              <w:pStyle w:val="ListParagraph"/>
              <w:numPr>
                <w:ilvl w:val="0"/>
                <w:numId w:val="21"/>
              </w:numPr>
              <w:ind w:left="241" w:hanging="211"/>
              <w:rPr>
                <w:rFonts w:eastAsia="Times New Roman" w:cstheme="minorHAnsi"/>
                <w:color w:val="000000" w:themeColor="text1"/>
              </w:rPr>
            </w:pPr>
            <w:r w:rsidRPr="00935077">
              <w:rPr>
                <w:rFonts w:eastAsia="Times New Roman" w:cstheme="minorHAnsi"/>
                <w:color w:val="000000" w:themeColor="text1"/>
              </w:rPr>
              <w:t>Can infiltrate lymph nodes</w:t>
            </w:r>
          </w:p>
          <w:p w14:paraId="209A2336" w14:textId="48B95802" w:rsidR="00935077" w:rsidRPr="00935077" w:rsidRDefault="00935077" w:rsidP="00935077">
            <w:pPr>
              <w:pStyle w:val="ListParagraph"/>
              <w:numPr>
                <w:ilvl w:val="0"/>
                <w:numId w:val="21"/>
              </w:numPr>
              <w:ind w:left="241" w:hanging="211"/>
              <w:rPr>
                <w:rFonts w:eastAsia="Times New Roman" w:cstheme="minorHAnsi"/>
                <w:color w:val="000000" w:themeColor="text1"/>
              </w:rPr>
            </w:pPr>
            <w:r>
              <w:rPr>
                <w:rFonts w:eastAsia="Times New Roman" w:cstheme="minorHAnsi"/>
                <w:color w:val="000000" w:themeColor="text1"/>
              </w:rPr>
              <w:t>CNS infiltration (needs LP prior to treatment)</w:t>
            </w:r>
          </w:p>
        </w:tc>
        <w:tc>
          <w:tcPr>
            <w:tcW w:w="1870" w:type="dxa"/>
          </w:tcPr>
          <w:p w14:paraId="235C64D1" w14:textId="77777777" w:rsidR="00935077" w:rsidRPr="00935077" w:rsidRDefault="00935077" w:rsidP="00935077">
            <w:pPr>
              <w:pStyle w:val="ListParagraph"/>
              <w:numPr>
                <w:ilvl w:val="0"/>
                <w:numId w:val="21"/>
              </w:numPr>
              <w:ind w:left="241" w:hanging="211"/>
              <w:rPr>
                <w:rFonts w:eastAsia="Times New Roman" w:cstheme="minorHAnsi"/>
                <w:color w:val="000000" w:themeColor="text1"/>
              </w:rPr>
            </w:pPr>
            <w:r w:rsidRPr="00935077">
              <w:rPr>
                <w:rFonts w:eastAsia="Times New Roman" w:cstheme="minorHAnsi"/>
                <w:color w:val="000000" w:themeColor="text1"/>
              </w:rPr>
              <w:t>Can infiltrate lymph nodes</w:t>
            </w:r>
          </w:p>
          <w:p w14:paraId="70F057B6" w14:textId="31E405EB" w:rsidR="00935077" w:rsidRPr="00935077" w:rsidRDefault="00935077" w:rsidP="00935077">
            <w:pPr>
              <w:pStyle w:val="ListParagraph"/>
              <w:numPr>
                <w:ilvl w:val="0"/>
                <w:numId w:val="21"/>
              </w:numPr>
              <w:ind w:left="241" w:hanging="211"/>
              <w:rPr>
                <w:rFonts w:eastAsia="Times New Roman" w:cstheme="minorHAnsi"/>
                <w:color w:val="000000" w:themeColor="text1"/>
              </w:rPr>
            </w:pPr>
            <w:r w:rsidRPr="00935077">
              <w:rPr>
                <w:rFonts w:eastAsia="Times New Roman" w:cstheme="minorHAnsi"/>
                <w:color w:val="000000" w:themeColor="text1"/>
              </w:rPr>
              <w:t>Richter transformation</w:t>
            </w:r>
            <w:r>
              <w:rPr>
                <w:rFonts w:eastAsia="Times New Roman" w:cstheme="minorHAnsi"/>
                <w:color w:val="000000" w:themeColor="text1"/>
              </w:rPr>
              <w:t xml:space="preserve"> (high grade lymphoma)</w:t>
            </w:r>
          </w:p>
          <w:p w14:paraId="5445A17D" w14:textId="3701AB70" w:rsidR="00935077" w:rsidRPr="00935077" w:rsidRDefault="00935077" w:rsidP="00935077">
            <w:pPr>
              <w:pStyle w:val="ListParagraph"/>
              <w:numPr>
                <w:ilvl w:val="0"/>
                <w:numId w:val="21"/>
              </w:numPr>
              <w:ind w:left="241" w:hanging="211"/>
              <w:rPr>
                <w:rFonts w:eastAsia="Times New Roman" w:cstheme="minorHAnsi"/>
                <w:color w:val="000000" w:themeColor="text1"/>
              </w:rPr>
            </w:pPr>
            <w:r w:rsidRPr="00935077">
              <w:rPr>
                <w:rFonts w:eastAsia="Times New Roman" w:cstheme="minorHAnsi"/>
                <w:color w:val="000000" w:themeColor="text1"/>
              </w:rPr>
              <w:t xml:space="preserve">Autoimmune </w:t>
            </w:r>
            <w:proofErr w:type="spellStart"/>
            <w:r w:rsidRPr="00935077">
              <w:rPr>
                <w:rFonts w:eastAsia="Times New Roman" w:cstheme="minorHAnsi"/>
                <w:color w:val="000000" w:themeColor="text1"/>
              </w:rPr>
              <w:t>cytopenias</w:t>
            </w:r>
            <w:proofErr w:type="spellEnd"/>
          </w:p>
        </w:tc>
      </w:tr>
    </w:tbl>
    <w:p w14:paraId="03FD3F76" w14:textId="77777777" w:rsidR="00935077" w:rsidRPr="00935077" w:rsidRDefault="00935077" w:rsidP="00935077">
      <w:pPr>
        <w:spacing w:after="0" w:line="240" w:lineRule="auto"/>
        <w:rPr>
          <w:rFonts w:eastAsia="Times New Roman" w:cstheme="minorHAnsi"/>
          <w:color w:val="000000" w:themeColor="text1"/>
        </w:rPr>
      </w:pPr>
    </w:p>
    <w:p w14:paraId="39C250D7" w14:textId="77777777" w:rsidR="00A75C73" w:rsidRPr="00C27C65" w:rsidRDefault="00A75C73" w:rsidP="00BE73DA">
      <w:pPr>
        <w:spacing w:after="0" w:line="240" w:lineRule="auto"/>
        <w:contextualSpacing/>
        <w:jc w:val="center"/>
        <w:rPr>
          <w:rFonts w:eastAsia="Times New Roman" w:cstheme="minorHAnsi"/>
          <w:color w:val="000000" w:themeColor="text1"/>
        </w:rPr>
      </w:pPr>
    </w:p>
    <w:p w14:paraId="39C250D8" w14:textId="77777777" w:rsidR="00BE73DA" w:rsidRPr="00C27C65" w:rsidRDefault="00BE73DA" w:rsidP="00BE73DA">
      <w:pPr>
        <w:spacing w:after="0" w:line="240" w:lineRule="auto"/>
        <w:contextualSpacing/>
        <w:outlineLvl w:val="1"/>
        <w:rPr>
          <w:rFonts w:eastAsia="Times New Roman" w:cstheme="minorHAnsi"/>
          <w:b/>
          <w:bCs/>
          <w:color w:val="000000" w:themeColor="text1"/>
        </w:rPr>
      </w:pPr>
      <w:r w:rsidRPr="00C27C65">
        <w:rPr>
          <w:rFonts w:eastAsia="Times New Roman" w:cstheme="minorHAnsi"/>
          <w:b/>
          <w:bCs/>
          <w:color w:val="000000" w:themeColor="text1"/>
        </w:rPr>
        <w:t>Take Home Points</w:t>
      </w:r>
    </w:p>
    <w:p w14:paraId="658176CE" w14:textId="470E71E1" w:rsidR="00913FBA" w:rsidRPr="00C27C65" w:rsidRDefault="00913FBA" w:rsidP="00913FBA">
      <w:pPr>
        <w:pStyle w:val="ListParagraph"/>
        <w:numPr>
          <w:ilvl w:val="0"/>
          <w:numId w:val="12"/>
        </w:numPr>
        <w:spacing w:after="0" w:line="240" w:lineRule="auto"/>
        <w:outlineLvl w:val="1"/>
        <w:rPr>
          <w:rFonts w:eastAsia="Times New Roman" w:cstheme="minorHAnsi"/>
          <w:bCs/>
          <w:color w:val="000000" w:themeColor="text1"/>
        </w:rPr>
      </w:pPr>
      <w:r w:rsidRPr="00C27C65">
        <w:rPr>
          <w:rFonts w:eastAsia="Times New Roman" w:cstheme="minorHAnsi"/>
          <w:bCs/>
          <w:color w:val="000000" w:themeColor="text1"/>
        </w:rPr>
        <w:t>There are four main types of myeloproliferative disorders: polycythemia vera, essential thrombocythemia, chronic myeloid leukemia, and primary myelofibrosis</w:t>
      </w:r>
    </w:p>
    <w:p w14:paraId="242A5681" w14:textId="22F1D3F9" w:rsidR="00F11F83" w:rsidRPr="00C27C65" w:rsidRDefault="00F11F83" w:rsidP="00913FBA">
      <w:pPr>
        <w:pStyle w:val="ListParagraph"/>
        <w:numPr>
          <w:ilvl w:val="0"/>
          <w:numId w:val="12"/>
        </w:numPr>
        <w:spacing w:after="0" w:line="240" w:lineRule="auto"/>
        <w:outlineLvl w:val="1"/>
        <w:rPr>
          <w:rFonts w:eastAsia="Times New Roman" w:cstheme="minorHAnsi"/>
          <w:bCs/>
          <w:color w:val="000000" w:themeColor="text1"/>
        </w:rPr>
      </w:pPr>
      <w:r w:rsidRPr="00C27C65">
        <w:rPr>
          <w:rFonts w:eastAsia="Times New Roman" w:cstheme="minorHAnsi"/>
          <w:bCs/>
          <w:color w:val="000000" w:themeColor="text1"/>
        </w:rPr>
        <w:t>An erythropoietin level can be useful in distinguishing secondary polycythemia from polycythemia vera</w:t>
      </w:r>
    </w:p>
    <w:p w14:paraId="080037CF" w14:textId="77777777" w:rsidR="00C93CBA" w:rsidRPr="00C27C65" w:rsidRDefault="00C93CBA" w:rsidP="00C93CBA">
      <w:pPr>
        <w:pStyle w:val="ListParagraph"/>
        <w:numPr>
          <w:ilvl w:val="0"/>
          <w:numId w:val="12"/>
        </w:numPr>
        <w:spacing w:after="0" w:line="240" w:lineRule="auto"/>
        <w:outlineLvl w:val="1"/>
        <w:rPr>
          <w:rFonts w:eastAsia="Times New Roman" w:cstheme="minorHAnsi"/>
          <w:bCs/>
          <w:color w:val="000000" w:themeColor="text1"/>
        </w:rPr>
      </w:pPr>
      <w:r w:rsidRPr="00C27C65">
        <w:rPr>
          <w:rFonts w:eastAsia="Times New Roman" w:cstheme="minorHAnsi"/>
          <w:bCs/>
          <w:color w:val="000000" w:themeColor="text1"/>
        </w:rPr>
        <w:t xml:space="preserve">Treatment of myeloproliferative disorders typically depends on risk stratification (PCV/ET) and prognosis (MF). CML treatment is highly effective. </w:t>
      </w:r>
    </w:p>
    <w:p w14:paraId="7923947D" w14:textId="77777777" w:rsidR="00F11F83" w:rsidRPr="00C27C65" w:rsidRDefault="00F11F83" w:rsidP="00F11F83">
      <w:pPr>
        <w:pStyle w:val="ListParagraph"/>
        <w:spacing w:after="0" w:line="240" w:lineRule="auto"/>
        <w:outlineLvl w:val="1"/>
        <w:rPr>
          <w:rFonts w:eastAsia="Times New Roman" w:cstheme="minorHAnsi"/>
          <w:bCs/>
          <w:color w:val="000000" w:themeColor="text1"/>
        </w:rPr>
      </w:pPr>
    </w:p>
    <w:p w14:paraId="39C250DB" w14:textId="77777777" w:rsidR="00BE73DA" w:rsidRPr="00C27C65" w:rsidRDefault="00BE73DA" w:rsidP="00BE73DA">
      <w:pPr>
        <w:spacing w:after="0" w:line="240" w:lineRule="auto"/>
        <w:contextualSpacing/>
        <w:outlineLvl w:val="1"/>
        <w:rPr>
          <w:rFonts w:eastAsia="Times New Roman" w:cstheme="minorHAnsi"/>
          <w:b/>
          <w:bCs/>
          <w:color w:val="000000" w:themeColor="text1"/>
        </w:rPr>
      </w:pPr>
      <w:r w:rsidRPr="00C27C65">
        <w:rPr>
          <w:rFonts w:eastAsia="Times New Roman" w:cstheme="minorHAnsi"/>
          <w:b/>
          <w:bCs/>
          <w:color w:val="000000" w:themeColor="text1"/>
        </w:rPr>
        <w:t>References</w:t>
      </w:r>
    </w:p>
    <w:p w14:paraId="13BAC5D2" w14:textId="76054700" w:rsidR="00C93CBA" w:rsidRPr="00C27C65" w:rsidRDefault="00C93CBA" w:rsidP="00C93CBA">
      <w:pPr>
        <w:pStyle w:val="ListParagraph"/>
        <w:numPr>
          <w:ilvl w:val="0"/>
          <w:numId w:val="13"/>
        </w:numPr>
        <w:spacing w:after="0" w:line="240" w:lineRule="auto"/>
        <w:rPr>
          <w:rFonts w:eastAsia="Times New Roman" w:cstheme="minorHAnsi"/>
          <w:color w:val="000000" w:themeColor="text1"/>
          <w:spacing w:val="4"/>
        </w:rPr>
      </w:pPr>
      <w:proofErr w:type="spellStart"/>
      <w:r w:rsidRPr="00C27C65">
        <w:rPr>
          <w:rFonts w:eastAsia="Times New Roman" w:cstheme="minorHAnsi"/>
          <w:color w:val="000000" w:themeColor="text1"/>
          <w:shd w:val="clear" w:color="auto" w:fill="FFFFFF"/>
        </w:rPr>
        <w:t>Tefferi</w:t>
      </w:r>
      <w:proofErr w:type="spellEnd"/>
      <w:r w:rsidRPr="00C27C65">
        <w:rPr>
          <w:rFonts w:eastAsia="Times New Roman" w:cstheme="minorHAnsi"/>
          <w:color w:val="000000" w:themeColor="text1"/>
          <w:shd w:val="clear" w:color="auto" w:fill="FFFFFF"/>
        </w:rPr>
        <w:t xml:space="preserve">, A. &amp; </w:t>
      </w:r>
      <w:proofErr w:type="spellStart"/>
      <w:r w:rsidRPr="00C27C65">
        <w:rPr>
          <w:rFonts w:eastAsia="Times New Roman" w:cstheme="minorHAnsi"/>
          <w:color w:val="000000" w:themeColor="text1"/>
          <w:shd w:val="clear" w:color="auto" w:fill="FFFFFF"/>
        </w:rPr>
        <w:t>Pardanani</w:t>
      </w:r>
      <w:proofErr w:type="spellEnd"/>
      <w:r w:rsidRPr="00C27C65">
        <w:rPr>
          <w:rFonts w:eastAsia="Times New Roman" w:cstheme="minorHAnsi"/>
          <w:color w:val="000000" w:themeColor="text1"/>
          <w:shd w:val="clear" w:color="auto" w:fill="FFFFFF"/>
        </w:rPr>
        <w:t xml:space="preserve">, A. </w:t>
      </w:r>
      <w:r w:rsidR="008A623D" w:rsidRPr="00C27C65">
        <w:rPr>
          <w:rFonts w:eastAsia="Times New Roman" w:cstheme="minorHAnsi"/>
          <w:color w:val="000000" w:themeColor="text1"/>
          <w:shd w:val="clear" w:color="auto" w:fill="FFFFFF"/>
        </w:rPr>
        <w:t>Myeloproliferative</w:t>
      </w:r>
      <w:r w:rsidRPr="00C27C65">
        <w:rPr>
          <w:rFonts w:eastAsia="Times New Roman" w:cstheme="minorHAnsi"/>
          <w:color w:val="000000" w:themeColor="text1"/>
          <w:shd w:val="clear" w:color="auto" w:fill="FFFFFF"/>
        </w:rPr>
        <w:t xml:space="preserve"> Neoplasms </w:t>
      </w:r>
      <w:proofErr w:type="gramStart"/>
      <w:r w:rsidRPr="00C27C65">
        <w:rPr>
          <w:rFonts w:eastAsia="Times New Roman" w:cstheme="minorHAnsi"/>
          <w:color w:val="000000" w:themeColor="text1"/>
          <w:shd w:val="clear" w:color="auto" w:fill="FFFFFF"/>
        </w:rPr>
        <w:t>A</w:t>
      </w:r>
      <w:proofErr w:type="gramEnd"/>
      <w:r w:rsidRPr="00C27C65">
        <w:rPr>
          <w:rFonts w:eastAsia="Times New Roman" w:cstheme="minorHAnsi"/>
          <w:color w:val="000000" w:themeColor="text1"/>
          <w:shd w:val="clear" w:color="auto" w:fill="FFFFFF"/>
        </w:rPr>
        <w:t xml:space="preserve"> Contemporary Review. </w:t>
      </w:r>
      <w:r w:rsidRPr="00C27C65">
        <w:rPr>
          <w:rFonts w:eastAsia="Times New Roman" w:cstheme="minorHAnsi"/>
          <w:i/>
          <w:iCs/>
          <w:color w:val="000000" w:themeColor="text1"/>
          <w:shd w:val="clear" w:color="auto" w:fill="FFFFFF"/>
        </w:rPr>
        <w:t>JAMA Oncol</w:t>
      </w:r>
      <w:r w:rsidRPr="00C27C65">
        <w:rPr>
          <w:rFonts w:eastAsia="Times New Roman" w:cstheme="minorHAnsi"/>
          <w:color w:val="000000" w:themeColor="text1"/>
          <w:shd w:val="clear" w:color="auto" w:fill="FFFFFF"/>
        </w:rPr>
        <w:t>. 2015; 1(1):97-105. Doi:10.1001/jamaoncol.2015.89</w:t>
      </w:r>
    </w:p>
    <w:p w14:paraId="25E66B9A" w14:textId="779F60F3" w:rsidR="00C93CBA" w:rsidRPr="00C27C65" w:rsidRDefault="00C93CBA" w:rsidP="00C93CBA">
      <w:pPr>
        <w:pStyle w:val="ListParagraph"/>
        <w:numPr>
          <w:ilvl w:val="0"/>
          <w:numId w:val="13"/>
        </w:numPr>
        <w:spacing w:after="0" w:line="240" w:lineRule="auto"/>
        <w:rPr>
          <w:rFonts w:eastAsia="Times New Roman" w:cstheme="minorHAnsi"/>
          <w:color w:val="000000" w:themeColor="text1"/>
          <w:spacing w:val="4"/>
        </w:rPr>
      </w:pPr>
      <w:r w:rsidRPr="00C27C65">
        <w:rPr>
          <w:rFonts w:eastAsia="Times New Roman" w:cstheme="minorHAnsi"/>
          <w:color w:val="000000" w:themeColor="text1"/>
          <w:spacing w:val="4"/>
        </w:rPr>
        <w:t xml:space="preserve">Spivak, JL. Myeloproliferative Neoplasms. </w:t>
      </w:r>
      <w:r w:rsidRPr="00C27C65">
        <w:rPr>
          <w:rFonts w:eastAsia="Times New Roman" w:cstheme="minorHAnsi"/>
          <w:i/>
          <w:iCs/>
          <w:color w:val="000000" w:themeColor="text1"/>
          <w:spacing w:val="4"/>
        </w:rPr>
        <w:t xml:space="preserve">NEJM. </w:t>
      </w:r>
      <w:r w:rsidRPr="00C27C65">
        <w:rPr>
          <w:rFonts w:eastAsia="Times New Roman" w:cstheme="minorHAnsi"/>
          <w:color w:val="000000" w:themeColor="text1"/>
          <w:spacing w:val="4"/>
        </w:rPr>
        <w:t xml:space="preserve">2017; 3782168-81. </w:t>
      </w:r>
    </w:p>
    <w:p w14:paraId="00E0E1EE" w14:textId="3D0FE58F" w:rsidR="00F11F83" w:rsidRPr="00C27C65" w:rsidRDefault="00F11F83" w:rsidP="00F11F83">
      <w:pPr>
        <w:pStyle w:val="ListParagraph"/>
        <w:numPr>
          <w:ilvl w:val="0"/>
          <w:numId w:val="13"/>
        </w:numPr>
        <w:spacing w:after="0" w:line="240" w:lineRule="auto"/>
        <w:rPr>
          <w:rFonts w:eastAsia="Times New Roman" w:cstheme="minorHAnsi"/>
          <w:color w:val="000000" w:themeColor="text1"/>
        </w:rPr>
      </w:pPr>
      <w:r w:rsidRPr="00C27C65">
        <w:rPr>
          <w:rFonts w:eastAsia="Times New Roman" w:cstheme="minorHAnsi"/>
          <w:color w:val="000000" w:themeColor="text1"/>
          <w:shd w:val="clear" w:color="auto" w:fill="FFFFFF"/>
        </w:rPr>
        <w:lastRenderedPageBreak/>
        <w:t xml:space="preserve">Heim, D., </w:t>
      </w:r>
      <w:proofErr w:type="spellStart"/>
      <w:r w:rsidRPr="00C27C65">
        <w:rPr>
          <w:rFonts w:eastAsia="Times New Roman" w:cstheme="minorHAnsi"/>
          <w:color w:val="000000" w:themeColor="text1"/>
          <w:shd w:val="clear" w:color="auto" w:fill="FFFFFF"/>
        </w:rPr>
        <w:t>Ebnöther</w:t>
      </w:r>
      <w:proofErr w:type="spellEnd"/>
      <w:r w:rsidRPr="00C27C65">
        <w:rPr>
          <w:rFonts w:eastAsia="Times New Roman" w:cstheme="minorHAnsi"/>
          <w:color w:val="000000" w:themeColor="text1"/>
          <w:shd w:val="clear" w:color="auto" w:fill="FFFFFF"/>
        </w:rPr>
        <w:t xml:space="preserve">, M., &amp; Favre, G. (2019). </w:t>
      </w:r>
      <w:proofErr w:type="spellStart"/>
      <w:r w:rsidRPr="00C27C65">
        <w:rPr>
          <w:rFonts w:eastAsia="Times New Roman" w:cstheme="minorHAnsi"/>
          <w:color w:val="000000" w:themeColor="text1"/>
          <w:shd w:val="clear" w:color="auto" w:fill="FFFFFF"/>
        </w:rPr>
        <w:t>Chronische</w:t>
      </w:r>
      <w:proofErr w:type="spellEnd"/>
      <w:r w:rsidRPr="00C27C65">
        <w:rPr>
          <w:rFonts w:eastAsia="Times New Roman" w:cstheme="minorHAnsi"/>
          <w:color w:val="000000" w:themeColor="text1"/>
          <w:shd w:val="clear" w:color="auto" w:fill="FFFFFF"/>
        </w:rPr>
        <w:t xml:space="preserve"> </w:t>
      </w:r>
      <w:proofErr w:type="spellStart"/>
      <w:r w:rsidRPr="00C27C65">
        <w:rPr>
          <w:rFonts w:eastAsia="Times New Roman" w:cstheme="minorHAnsi"/>
          <w:color w:val="000000" w:themeColor="text1"/>
          <w:shd w:val="clear" w:color="auto" w:fill="FFFFFF"/>
        </w:rPr>
        <w:t>Myeloische</w:t>
      </w:r>
      <w:proofErr w:type="spellEnd"/>
      <w:r w:rsidRPr="00C27C65">
        <w:rPr>
          <w:rFonts w:eastAsia="Times New Roman" w:cstheme="minorHAnsi"/>
          <w:color w:val="000000" w:themeColor="text1"/>
          <w:shd w:val="clear" w:color="auto" w:fill="FFFFFF"/>
        </w:rPr>
        <w:t xml:space="preserve"> </w:t>
      </w:r>
      <w:proofErr w:type="spellStart"/>
      <w:r w:rsidRPr="00C27C65">
        <w:rPr>
          <w:rFonts w:eastAsia="Times New Roman" w:cstheme="minorHAnsi"/>
          <w:color w:val="000000" w:themeColor="text1"/>
          <w:shd w:val="clear" w:color="auto" w:fill="FFFFFF"/>
        </w:rPr>
        <w:t>Leukämie</w:t>
      </w:r>
      <w:proofErr w:type="spellEnd"/>
      <w:r w:rsidRPr="00C27C65">
        <w:rPr>
          <w:rFonts w:eastAsia="Times New Roman" w:cstheme="minorHAnsi"/>
          <w:color w:val="000000" w:themeColor="text1"/>
          <w:shd w:val="clear" w:color="auto" w:fill="FFFFFF"/>
        </w:rPr>
        <w:t xml:space="preserve"> – Update 2020 [Chronic myeloid leukemia - update 2020]. </w:t>
      </w:r>
      <w:proofErr w:type="spellStart"/>
      <w:r w:rsidRPr="00C27C65">
        <w:rPr>
          <w:rFonts w:eastAsia="Times New Roman" w:cstheme="minorHAnsi"/>
          <w:i/>
          <w:iCs/>
          <w:color w:val="000000" w:themeColor="text1"/>
          <w:shd w:val="clear" w:color="auto" w:fill="FFFFFF"/>
        </w:rPr>
        <w:t>Therapeutische</w:t>
      </w:r>
      <w:proofErr w:type="spellEnd"/>
      <w:r w:rsidRPr="00C27C65">
        <w:rPr>
          <w:rFonts w:eastAsia="Times New Roman" w:cstheme="minorHAnsi"/>
          <w:i/>
          <w:iCs/>
          <w:color w:val="000000" w:themeColor="text1"/>
          <w:shd w:val="clear" w:color="auto" w:fill="FFFFFF"/>
        </w:rPr>
        <w:t xml:space="preserve"> </w:t>
      </w:r>
      <w:proofErr w:type="spellStart"/>
      <w:r w:rsidRPr="00C27C65">
        <w:rPr>
          <w:rFonts w:eastAsia="Times New Roman" w:cstheme="minorHAnsi"/>
          <w:i/>
          <w:iCs/>
          <w:color w:val="000000" w:themeColor="text1"/>
          <w:shd w:val="clear" w:color="auto" w:fill="FFFFFF"/>
        </w:rPr>
        <w:t>Umschau</w:t>
      </w:r>
      <w:proofErr w:type="spellEnd"/>
      <w:r w:rsidRPr="00C27C65">
        <w:rPr>
          <w:rFonts w:eastAsia="Times New Roman" w:cstheme="minorHAnsi"/>
          <w:i/>
          <w:iCs/>
          <w:color w:val="000000" w:themeColor="text1"/>
          <w:shd w:val="clear" w:color="auto" w:fill="FFFFFF"/>
        </w:rPr>
        <w:t xml:space="preserve">. Revue </w:t>
      </w:r>
      <w:proofErr w:type="spellStart"/>
      <w:r w:rsidRPr="00C27C65">
        <w:rPr>
          <w:rFonts w:eastAsia="Times New Roman" w:cstheme="minorHAnsi"/>
          <w:i/>
          <w:iCs/>
          <w:color w:val="000000" w:themeColor="text1"/>
          <w:shd w:val="clear" w:color="auto" w:fill="FFFFFF"/>
        </w:rPr>
        <w:t>therapeutique</w:t>
      </w:r>
      <w:proofErr w:type="spellEnd"/>
      <w:r w:rsidRPr="00C27C65">
        <w:rPr>
          <w:rFonts w:eastAsia="Times New Roman" w:cstheme="minorHAnsi"/>
          <w:color w:val="000000" w:themeColor="text1"/>
          <w:shd w:val="clear" w:color="auto" w:fill="FFFFFF"/>
        </w:rPr>
        <w:t>, </w:t>
      </w:r>
      <w:r w:rsidRPr="00C27C65">
        <w:rPr>
          <w:rFonts w:eastAsia="Times New Roman" w:cstheme="minorHAnsi"/>
          <w:i/>
          <w:iCs/>
          <w:color w:val="000000" w:themeColor="text1"/>
          <w:shd w:val="clear" w:color="auto" w:fill="FFFFFF"/>
        </w:rPr>
        <w:t>76</w:t>
      </w:r>
      <w:r w:rsidRPr="00C27C65">
        <w:rPr>
          <w:rFonts w:eastAsia="Times New Roman" w:cstheme="minorHAnsi"/>
          <w:color w:val="000000" w:themeColor="text1"/>
          <w:shd w:val="clear" w:color="auto" w:fill="FFFFFF"/>
        </w:rPr>
        <w:t>(9), 503–509. https://doi.org/10.1024/0040-5930/a001124</w:t>
      </w:r>
    </w:p>
    <w:p w14:paraId="4A0219AC" w14:textId="77777777" w:rsidR="00F11F83" w:rsidRPr="00C27C65" w:rsidRDefault="00F11F83" w:rsidP="00F11F83">
      <w:pPr>
        <w:pStyle w:val="ListParagraph"/>
        <w:numPr>
          <w:ilvl w:val="0"/>
          <w:numId w:val="13"/>
        </w:numPr>
        <w:spacing w:after="0" w:line="240" w:lineRule="auto"/>
        <w:rPr>
          <w:rFonts w:eastAsia="Times New Roman" w:cstheme="minorHAnsi"/>
          <w:color w:val="000000" w:themeColor="text1"/>
        </w:rPr>
      </w:pPr>
      <w:r w:rsidRPr="00C27C65">
        <w:rPr>
          <w:rFonts w:eastAsia="Times New Roman" w:cstheme="minorHAnsi"/>
          <w:color w:val="000000" w:themeColor="text1"/>
          <w:shd w:val="clear" w:color="auto" w:fill="FFFFFF"/>
        </w:rPr>
        <w:t>Levine, R. L., &amp; Gilliland, D. G. (2008). Myeloproliferative disorders. </w:t>
      </w:r>
      <w:r w:rsidRPr="00C27C65">
        <w:rPr>
          <w:rFonts w:eastAsia="Times New Roman" w:cstheme="minorHAnsi"/>
          <w:i/>
          <w:iCs/>
          <w:color w:val="000000" w:themeColor="text1"/>
          <w:shd w:val="clear" w:color="auto" w:fill="FFFFFF"/>
        </w:rPr>
        <w:t>Blood</w:t>
      </w:r>
      <w:r w:rsidRPr="00C27C65">
        <w:rPr>
          <w:rFonts w:eastAsia="Times New Roman" w:cstheme="minorHAnsi"/>
          <w:color w:val="000000" w:themeColor="text1"/>
          <w:shd w:val="clear" w:color="auto" w:fill="FFFFFF"/>
        </w:rPr>
        <w:t>, </w:t>
      </w:r>
      <w:r w:rsidRPr="00C27C65">
        <w:rPr>
          <w:rFonts w:eastAsia="Times New Roman" w:cstheme="minorHAnsi"/>
          <w:i/>
          <w:iCs/>
          <w:color w:val="000000" w:themeColor="text1"/>
          <w:shd w:val="clear" w:color="auto" w:fill="FFFFFF"/>
        </w:rPr>
        <w:t>112</w:t>
      </w:r>
      <w:r w:rsidRPr="00C27C65">
        <w:rPr>
          <w:rFonts w:eastAsia="Times New Roman" w:cstheme="minorHAnsi"/>
          <w:color w:val="000000" w:themeColor="text1"/>
          <w:shd w:val="clear" w:color="auto" w:fill="FFFFFF"/>
        </w:rPr>
        <w:t>(6), 2190–2198. https://doi.org/10.1182/blood-2008-03-077966</w:t>
      </w:r>
    </w:p>
    <w:p w14:paraId="04A8E0D5" w14:textId="77777777" w:rsidR="00F11F83" w:rsidRPr="00C27C65" w:rsidRDefault="00F11F83" w:rsidP="00F11F83">
      <w:pPr>
        <w:pStyle w:val="ListParagraph"/>
        <w:numPr>
          <w:ilvl w:val="0"/>
          <w:numId w:val="13"/>
        </w:numPr>
        <w:spacing w:after="0" w:line="240" w:lineRule="auto"/>
        <w:rPr>
          <w:rFonts w:eastAsia="Times New Roman" w:cstheme="minorHAnsi"/>
          <w:color w:val="000000" w:themeColor="text1"/>
        </w:rPr>
      </w:pPr>
      <w:r w:rsidRPr="00C27C65">
        <w:rPr>
          <w:rFonts w:eastAsia="Times New Roman" w:cstheme="minorHAnsi"/>
          <w:color w:val="000000" w:themeColor="text1"/>
          <w:shd w:val="clear" w:color="auto" w:fill="FFFFFF"/>
        </w:rPr>
        <w:t>Meier, B., &amp; Burton, J. H. (2017). Myeloproliferative Disorders. </w:t>
      </w:r>
      <w:r w:rsidRPr="00C27C65">
        <w:rPr>
          <w:rFonts w:eastAsia="Times New Roman" w:cstheme="minorHAnsi"/>
          <w:i/>
          <w:iCs/>
          <w:color w:val="000000" w:themeColor="text1"/>
          <w:shd w:val="clear" w:color="auto" w:fill="FFFFFF"/>
        </w:rPr>
        <w:t>Hematology/oncology clinics of North America</w:t>
      </w:r>
      <w:r w:rsidRPr="00C27C65">
        <w:rPr>
          <w:rFonts w:eastAsia="Times New Roman" w:cstheme="minorHAnsi"/>
          <w:color w:val="000000" w:themeColor="text1"/>
          <w:shd w:val="clear" w:color="auto" w:fill="FFFFFF"/>
        </w:rPr>
        <w:t>, </w:t>
      </w:r>
      <w:r w:rsidRPr="00C27C65">
        <w:rPr>
          <w:rFonts w:eastAsia="Times New Roman" w:cstheme="minorHAnsi"/>
          <w:i/>
          <w:iCs/>
          <w:color w:val="000000" w:themeColor="text1"/>
          <w:shd w:val="clear" w:color="auto" w:fill="FFFFFF"/>
        </w:rPr>
        <w:t>31</w:t>
      </w:r>
      <w:r w:rsidRPr="00C27C65">
        <w:rPr>
          <w:rFonts w:eastAsia="Times New Roman" w:cstheme="minorHAnsi"/>
          <w:color w:val="000000" w:themeColor="text1"/>
          <w:shd w:val="clear" w:color="auto" w:fill="FFFFFF"/>
        </w:rPr>
        <w:t>(6), 1029–1044. https://doi.org/10.1016/j.hoc.2017.08.007</w:t>
      </w:r>
    </w:p>
    <w:p w14:paraId="1DEEB3A0" w14:textId="77777777" w:rsidR="00F11F83" w:rsidRPr="00C27C65" w:rsidRDefault="00F11F83" w:rsidP="00F11F83">
      <w:pPr>
        <w:pStyle w:val="ListParagraph"/>
        <w:numPr>
          <w:ilvl w:val="0"/>
          <w:numId w:val="13"/>
        </w:numPr>
        <w:spacing w:after="0" w:line="240" w:lineRule="auto"/>
        <w:rPr>
          <w:rFonts w:eastAsia="Times New Roman" w:cstheme="minorHAnsi"/>
          <w:color w:val="000000" w:themeColor="text1"/>
        </w:rPr>
      </w:pPr>
      <w:proofErr w:type="spellStart"/>
      <w:r w:rsidRPr="00C27C65">
        <w:rPr>
          <w:rFonts w:eastAsia="Times New Roman" w:cstheme="minorHAnsi"/>
          <w:color w:val="000000" w:themeColor="text1"/>
          <w:shd w:val="clear" w:color="auto" w:fill="FFFFFF"/>
        </w:rPr>
        <w:t>Tefferi</w:t>
      </w:r>
      <w:proofErr w:type="spellEnd"/>
      <w:r w:rsidRPr="00C27C65">
        <w:rPr>
          <w:rFonts w:eastAsia="Times New Roman" w:cstheme="minorHAnsi"/>
          <w:color w:val="000000" w:themeColor="text1"/>
          <w:shd w:val="clear" w:color="auto" w:fill="FFFFFF"/>
        </w:rPr>
        <w:t xml:space="preserve">, A., &amp; </w:t>
      </w:r>
      <w:proofErr w:type="spellStart"/>
      <w:r w:rsidRPr="00C27C65">
        <w:rPr>
          <w:rFonts w:eastAsia="Times New Roman" w:cstheme="minorHAnsi"/>
          <w:color w:val="000000" w:themeColor="text1"/>
          <w:shd w:val="clear" w:color="auto" w:fill="FFFFFF"/>
        </w:rPr>
        <w:t>Pardanani</w:t>
      </w:r>
      <w:proofErr w:type="spellEnd"/>
      <w:r w:rsidRPr="00C27C65">
        <w:rPr>
          <w:rFonts w:eastAsia="Times New Roman" w:cstheme="minorHAnsi"/>
          <w:color w:val="000000" w:themeColor="text1"/>
          <w:shd w:val="clear" w:color="auto" w:fill="FFFFFF"/>
        </w:rPr>
        <w:t>, A. (2019). Essential Thrombocythemia. </w:t>
      </w:r>
      <w:r w:rsidRPr="00C27C65">
        <w:rPr>
          <w:rFonts w:eastAsia="Times New Roman" w:cstheme="minorHAnsi"/>
          <w:i/>
          <w:iCs/>
          <w:color w:val="000000" w:themeColor="text1"/>
          <w:shd w:val="clear" w:color="auto" w:fill="FFFFFF"/>
        </w:rPr>
        <w:t>The New England journal of medicine</w:t>
      </w:r>
      <w:r w:rsidRPr="00C27C65">
        <w:rPr>
          <w:rFonts w:eastAsia="Times New Roman" w:cstheme="minorHAnsi"/>
          <w:color w:val="000000" w:themeColor="text1"/>
          <w:shd w:val="clear" w:color="auto" w:fill="FFFFFF"/>
        </w:rPr>
        <w:t>, </w:t>
      </w:r>
      <w:r w:rsidRPr="00C27C65">
        <w:rPr>
          <w:rFonts w:eastAsia="Times New Roman" w:cstheme="minorHAnsi"/>
          <w:i/>
          <w:iCs/>
          <w:color w:val="000000" w:themeColor="text1"/>
          <w:shd w:val="clear" w:color="auto" w:fill="FFFFFF"/>
        </w:rPr>
        <w:t>381</w:t>
      </w:r>
      <w:r w:rsidRPr="00C27C65">
        <w:rPr>
          <w:rFonts w:eastAsia="Times New Roman" w:cstheme="minorHAnsi"/>
          <w:color w:val="000000" w:themeColor="text1"/>
          <w:shd w:val="clear" w:color="auto" w:fill="FFFFFF"/>
        </w:rPr>
        <w:t>(22), 2135–2144. https://doi.org/10.1056/NEJMcp1816082</w:t>
      </w:r>
    </w:p>
    <w:p w14:paraId="10D2A182" w14:textId="77777777" w:rsidR="00F11F83" w:rsidRPr="00C27C65" w:rsidRDefault="00F11F83" w:rsidP="00F11F83">
      <w:pPr>
        <w:pStyle w:val="ListParagraph"/>
        <w:numPr>
          <w:ilvl w:val="0"/>
          <w:numId w:val="13"/>
        </w:numPr>
        <w:spacing w:after="0" w:line="240" w:lineRule="auto"/>
        <w:rPr>
          <w:rFonts w:eastAsia="Times New Roman" w:cstheme="minorHAnsi"/>
          <w:color w:val="000000" w:themeColor="text1"/>
        </w:rPr>
      </w:pPr>
      <w:proofErr w:type="spellStart"/>
      <w:r w:rsidRPr="00C27C65">
        <w:rPr>
          <w:rFonts w:eastAsia="Times New Roman" w:cstheme="minorHAnsi"/>
          <w:color w:val="000000" w:themeColor="text1"/>
          <w:shd w:val="clear" w:color="auto" w:fill="FFFFFF"/>
        </w:rPr>
        <w:t>Vannucchi</w:t>
      </w:r>
      <w:proofErr w:type="spellEnd"/>
      <w:r w:rsidRPr="00C27C65">
        <w:rPr>
          <w:rFonts w:eastAsia="Times New Roman" w:cstheme="minorHAnsi"/>
          <w:color w:val="000000" w:themeColor="text1"/>
          <w:shd w:val="clear" w:color="auto" w:fill="FFFFFF"/>
        </w:rPr>
        <w:t xml:space="preserve">, A. M., Guglielmelli, P., &amp; </w:t>
      </w:r>
      <w:proofErr w:type="spellStart"/>
      <w:r w:rsidRPr="00C27C65">
        <w:rPr>
          <w:rFonts w:eastAsia="Times New Roman" w:cstheme="minorHAnsi"/>
          <w:color w:val="000000" w:themeColor="text1"/>
          <w:shd w:val="clear" w:color="auto" w:fill="FFFFFF"/>
        </w:rPr>
        <w:t>Tefferi</w:t>
      </w:r>
      <w:proofErr w:type="spellEnd"/>
      <w:r w:rsidRPr="00C27C65">
        <w:rPr>
          <w:rFonts w:eastAsia="Times New Roman" w:cstheme="minorHAnsi"/>
          <w:color w:val="000000" w:themeColor="text1"/>
          <w:shd w:val="clear" w:color="auto" w:fill="FFFFFF"/>
        </w:rPr>
        <w:t>, A. (2018). Polycythemia vera and essential thrombocythemia: algorithmic approach. </w:t>
      </w:r>
      <w:r w:rsidRPr="00C27C65">
        <w:rPr>
          <w:rFonts w:eastAsia="Times New Roman" w:cstheme="minorHAnsi"/>
          <w:i/>
          <w:iCs/>
          <w:color w:val="000000" w:themeColor="text1"/>
          <w:shd w:val="clear" w:color="auto" w:fill="FFFFFF"/>
        </w:rPr>
        <w:t>Current opinion in hematology</w:t>
      </w:r>
      <w:r w:rsidRPr="00C27C65">
        <w:rPr>
          <w:rFonts w:eastAsia="Times New Roman" w:cstheme="minorHAnsi"/>
          <w:color w:val="000000" w:themeColor="text1"/>
          <w:shd w:val="clear" w:color="auto" w:fill="FFFFFF"/>
        </w:rPr>
        <w:t>, </w:t>
      </w:r>
      <w:r w:rsidRPr="00C27C65">
        <w:rPr>
          <w:rFonts w:eastAsia="Times New Roman" w:cstheme="minorHAnsi"/>
          <w:i/>
          <w:iCs/>
          <w:color w:val="000000" w:themeColor="text1"/>
          <w:shd w:val="clear" w:color="auto" w:fill="FFFFFF"/>
        </w:rPr>
        <w:t>25</w:t>
      </w:r>
      <w:r w:rsidRPr="00C27C65">
        <w:rPr>
          <w:rFonts w:eastAsia="Times New Roman" w:cstheme="minorHAnsi"/>
          <w:color w:val="000000" w:themeColor="text1"/>
          <w:shd w:val="clear" w:color="auto" w:fill="FFFFFF"/>
        </w:rPr>
        <w:t>(2), 112–119. https://doi.org/10.1097/MOH.0000000000000402</w:t>
      </w:r>
    </w:p>
    <w:p w14:paraId="66021532" w14:textId="77777777" w:rsidR="00F11F83" w:rsidRPr="00C27C65" w:rsidRDefault="00F11F83" w:rsidP="00F11F83">
      <w:pPr>
        <w:spacing w:after="0" w:line="240" w:lineRule="auto"/>
        <w:rPr>
          <w:rFonts w:eastAsia="Times New Roman" w:cstheme="minorHAnsi"/>
          <w:color w:val="000000" w:themeColor="text1"/>
        </w:rPr>
      </w:pPr>
    </w:p>
    <w:p w14:paraId="56CFE715" w14:textId="77777777" w:rsidR="00F11F83" w:rsidRPr="00C27C65" w:rsidRDefault="00F11F83" w:rsidP="00BE73DA">
      <w:pPr>
        <w:spacing w:after="0" w:line="240" w:lineRule="auto"/>
        <w:contextualSpacing/>
        <w:outlineLvl w:val="1"/>
        <w:rPr>
          <w:rFonts w:eastAsia="Times New Roman" w:cstheme="minorHAnsi"/>
          <w:b/>
          <w:bCs/>
          <w:color w:val="000000" w:themeColor="text1"/>
        </w:rPr>
      </w:pPr>
    </w:p>
    <w:p w14:paraId="7630B7EB" w14:textId="77777777" w:rsidR="00F11F83" w:rsidRPr="00C27C65" w:rsidRDefault="00F11F83" w:rsidP="00BE73DA">
      <w:pPr>
        <w:spacing w:after="0" w:line="240" w:lineRule="auto"/>
        <w:contextualSpacing/>
        <w:outlineLvl w:val="1"/>
        <w:rPr>
          <w:rFonts w:eastAsia="Times New Roman" w:cstheme="minorHAnsi"/>
          <w:b/>
          <w:bCs/>
          <w:color w:val="000000" w:themeColor="text1"/>
        </w:rPr>
      </w:pPr>
    </w:p>
    <w:p w14:paraId="39C250DC" w14:textId="65046F5A" w:rsidR="00A75C73" w:rsidRPr="00C27C65" w:rsidRDefault="00A75C73" w:rsidP="00267169">
      <w:pPr>
        <w:spacing w:after="0" w:line="240" w:lineRule="auto"/>
        <w:contextualSpacing/>
        <w:outlineLvl w:val="1"/>
        <w:rPr>
          <w:rFonts w:cstheme="minorHAnsi"/>
          <w:color w:val="000000" w:themeColor="text1"/>
        </w:rPr>
      </w:pPr>
    </w:p>
    <w:sectPr w:rsidR="00A75C73" w:rsidRPr="00C27C65" w:rsidSect="0057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101"/>
    <w:multiLevelType w:val="hybridMultilevel"/>
    <w:tmpl w:val="9CA4D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D796A"/>
    <w:multiLevelType w:val="hybridMultilevel"/>
    <w:tmpl w:val="523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208E4"/>
    <w:multiLevelType w:val="hybridMultilevel"/>
    <w:tmpl w:val="36DC16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A68C2"/>
    <w:multiLevelType w:val="hybridMultilevel"/>
    <w:tmpl w:val="8534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5164A"/>
    <w:multiLevelType w:val="multilevel"/>
    <w:tmpl w:val="6FEA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C6E36"/>
    <w:multiLevelType w:val="hybridMultilevel"/>
    <w:tmpl w:val="BAFC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809A6"/>
    <w:multiLevelType w:val="hybridMultilevel"/>
    <w:tmpl w:val="B212E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B7E4D"/>
    <w:multiLevelType w:val="hybridMultilevel"/>
    <w:tmpl w:val="5748D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6D6D81"/>
    <w:multiLevelType w:val="hybridMultilevel"/>
    <w:tmpl w:val="69869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12380"/>
    <w:multiLevelType w:val="hybridMultilevel"/>
    <w:tmpl w:val="32FC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801F6"/>
    <w:multiLevelType w:val="hybridMultilevel"/>
    <w:tmpl w:val="0DFC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2496"/>
    <w:multiLevelType w:val="hybridMultilevel"/>
    <w:tmpl w:val="7E46BE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C973DD"/>
    <w:multiLevelType w:val="hybridMultilevel"/>
    <w:tmpl w:val="60C8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67E1F"/>
    <w:multiLevelType w:val="multilevel"/>
    <w:tmpl w:val="6E52C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533CA"/>
    <w:multiLevelType w:val="hybridMultilevel"/>
    <w:tmpl w:val="892A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B3045"/>
    <w:multiLevelType w:val="multilevel"/>
    <w:tmpl w:val="23AE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EC4475"/>
    <w:multiLevelType w:val="hybridMultilevel"/>
    <w:tmpl w:val="1CB46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4E461E"/>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A2F61"/>
    <w:multiLevelType w:val="hybridMultilevel"/>
    <w:tmpl w:val="5CE0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F7A20"/>
    <w:multiLevelType w:val="hybridMultilevel"/>
    <w:tmpl w:val="BF8A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14F1D"/>
    <w:multiLevelType w:val="hybridMultilevel"/>
    <w:tmpl w:val="E0B2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388910">
    <w:abstractNumId w:val="4"/>
  </w:num>
  <w:num w:numId="2" w16cid:durableId="646015312">
    <w:abstractNumId w:val="15"/>
  </w:num>
  <w:num w:numId="3" w16cid:durableId="1964993428">
    <w:abstractNumId w:val="9"/>
  </w:num>
  <w:num w:numId="4" w16cid:durableId="875241997">
    <w:abstractNumId w:val="10"/>
  </w:num>
  <w:num w:numId="5" w16cid:durableId="167983737">
    <w:abstractNumId w:val="3"/>
  </w:num>
  <w:num w:numId="6" w16cid:durableId="1186408937">
    <w:abstractNumId w:val="5"/>
  </w:num>
  <w:num w:numId="7" w16cid:durableId="1113784735">
    <w:abstractNumId w:val="17"/>
  </w:num>
  <w:num w:numId="8" w16cid:durableId="2028484388">
    <w:abstractNumId w:val="13"/>
  </w:num>
  <w:num w:numId="9" w16cid:durableId="1931549734">
    <w:abstractNumId w:val="0"/>
  </w:num>
  <w:num w:numId="10" w16cid:durableId="608394684">
    <w:abstractNumId w:val="2"/>
  </w:num>
  <w:num w:numId="11" w16cid:durableId="775448020">
    <w:abstractNumId w:val="20"/>
  </w:num>
  <w:num w:numId="12" w16cid:durableId="445732277">
    <w:abstractNumId w:val="14"/>
  </w:num>
  <w:num w:numId="13" w16cid:durableId="625745287">
    <w:abstractNumId w:val="18"/>
  </w:num>
  <w:num w:numId="14" w16cid:durableId="1787119016">
    <w:abstractNumId w:val="7"/>
  </w:num>
  <w:num w:numId="15" w16cid:durableId="1260681599">
    <w:abstractNumId w:val="6"/>
  </w:num>
  <w:num w:numId="16" w16cid:durableId="1981496063">
    <w:abstractNumId w:val="8"/>
  </w:num>
  <w:num w:numId="17" w16cid:durableId="959141822">
    <w:abstractNumId w:val="16"/>
  </w:num>
  <w:num w:numId="18" w16cid:durableId="1869443062">
    <w:abstractNumId w:val="12"/>
  </w:num>
  <w:num w:numId="19" w16cid:durableId="1003166931">
    <w:abstractNumId w:val="11"/>
  </w:num>
  <w:num w:numId="20" w16cid:durableId="430006645">
    <w:abstractNumId w:val="1"/>
  </w:num>
  <w:num w:numId="21" w16cid:durableId="15658696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DA"/>
    <w:rsid w:val="0000355B"/>
    <w:rsid w:val="00012B63"/>
    <w:rsid w:val="000621B7"/>
    <w:rsid w:val="000D1E34"/>
    <w:rsid w:val="00151D33"/>
    <w:rsid w:val="00152703"/>
    <w:rsid w:val="00197D95"/>
    <w:rsid w:val="001B59A6"/>
    <w:rsid w:val="00232387"/>
    <w:rsid w:val="002343B2"/>
    <w:rsid w:val="00267169"/>
    <w:rsid w:val="002A3F51"/>
    <w:rsid w:val="002A53A3"/>
    <w:rsid w:val="002A54E0"/>
    <w:rsid w:val="002C4E7E"/>
    <w:rsid w:val="00307A15"/>
    <w:rsid w:val="00311FF6"/>
    <w:rsid w:val="0031602C"/>
    <w:rsid w:val="00345106"/>
    <w:rsid w:val="00365E73"/>
    <w:rsid w:val="003A3E2C"/>
    <w:rsid w:val="003B320E"/>
    <w:rsid w:val="003D4F80"/>
    <w:rsid w:val="00423191"/>
    <w:rsid w:val="004307AC"/>
    <w:rsid w:val="00440503"/>
    <w:rsid w:val="00467204"/>
    <w:rsid w:val="00484B66"/>
    <w:rsid w:val="00491E8C"/>
    <w:rsid w:val="004E2117"/>
    <w:rsid w:val="0050237A"/>
    <w:rsid w:val="00532C0A"/>
    <w:rsid w:val="00576588"/>
    <w:rsid w:val="00577C30"/>
    <w:rsid w:val="00595CB3"/>
    <w:rsid w:val="005C29D6"/>
    <w:rsid w:val="0060144B"/>
    <w:rsid w:val="00661590"/>
    <w:rsid w:val="006774A7"/>
    <w:rsid w:val="006B4612"/>
    <w:rsid w:val="006C0973"/>
    <w:rsid w:val="006C1552"/>
    <w:rsid w:val="007473BC"/>
    <w:rsid w:val="007C3F90"/>
    <w:rsid w:val="007D359E"/>
    <w:rsid w:val="007E337E"/>
    <w:rsid w:val="007F3419"/>
    <w:rsid w:val="007F6A37"/>
    <w:rsid w:val="00814715"/>
    <w:rsid w:val="00826D4B"/>
    <w:rsid w:val="00831621"/>
    <w:rsid w:val="00855B26"/>
    <w:rsid w:val="00877F7C"/>
    <w:rsid w:val="008A623D"/>
    <w:rsid w:val="008B5D3D"/>
    <w:rsid w:val="008C6C1F"/>
    <w:rsid w:val="009120B2"/>
    <w:rsid w:val="009132D6"/>
    <w:rsid w:val="00913FBA"/>
    <w:rsid w:val="009144AD"/>
    <w:rsid w:val="00935077"/>
    <w:rsid w:val="00952819"/>
    <w:rsid w:val="009570A0"/>
    <w:rsid w:val="00970403"/>
    <w:rsid w:val="0097257A"/>
    <w:rsid w:val="00972968"/>
    <w:rsid w:val="0098665B"/>
    <w:rsid w:val="009C19DC"/>
    <w:rsid w:val="009D043B"/>
    <w:rsid w:val="009F5800"/>
    <w:rsid w:val="00A03BB6"/>
    <w:rsid w:val="00A06517"/>
    <w:rsid w:val="00A25988"/>
    <w:rsid w:val="00A27866"/>
    <w:rsid w:val="00A75C73"/>
    <w:rsid w:val="00A90EF8"/>
    <w:rsid w:val="00AF0F26"/>
    <w:rsid w:val="00B14030"/>
    <w:rsid w:val="00B36601"/>
    <w:rsid w:val="00B467ED"/>
    <w:rsid w:val="00B47F6B"/>
    <w:rsid w:val="00B85F4C"/>
    <w:rsid w:val="00B91B1D"/>
    <w:rsid w:val="00BD2C0E"/>
    <w:rsid w:val="00BE73DA"/>
    <w:rsid w:val="00BF4AFB"/>
    <w:rsid w:val="00C27C65"/>
    <w:rsid w:val="00C4101B"/>
    <w:rsid w:val="00C44851"/>
    <w:rsid w:val="00C53D0F"/>
    <w:rsid w:val="00C55004"/>
    <w:rsid w:val="00C93CBA"/>
    <w:rsid w:val="00CA56CD"/>
    <w:rsid w:val="00CA74F4"/>
    <w:rsid w:val="00CC67EF"/>
    <w:rsid w:val="00CE7570"/>
    <w:rsid w:val="00CF64E9"/>
    <w:rsid w:val="00D4022C"/>
    <w:rsid w:val="00D6785C"/>
    <w:rsid w:val="00D8562F"/>
    <w:rsid w:val="00D9479F"/>
    <w:rsid w:val="00D95DF9"/>
    <w:rsid w:val="00DC2350"/>
    <w:rsid w:val="00E366C2"/>
    <w:rsid w:val="00E41C1A"/>
    <w:rsid w:val="00E86C1B"/>
    <w:rsid w:val="00EC0DA4"/>
    <w:rsid w:val="00ED5753"/>
    <w:rsid w:val="00EE5E97"/>
    <w:rsid w:val="00EE7F94"/>
    <w:rsid w:val="00EF54F0"/>
    <w:rsid w:val="00F11F83"/>
    <w:rsid w:val="00F14B87"/>
    <w:rsid w:val="00F15982"/>
    <w:rsid w:val="00F75BA1"/>
    <w:rsid w:val="00FA68C5"/>
    <w:rsid w:val="00FA6B41"/>
    <w:rsid w:val="00FD38F6"/>
    <w:rsid w:val="00FF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0B7"/>
  <w15:chartTrackingRefBased/>
  <w15:docId w15:val="{2E4E4C9E-BE7C-4B23-9C5A-6283E2FF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7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73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3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73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3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3DA"/>
    <w:rPr>
      <w:color w:val="0000FF"/>
      <w:u w:val="single"/>
    </w:rPr>
  </w:style>
  <w:style w:type="character" w:styleId="Strong">
    <w:name w:val="Strong"/>
    <w:basedOn w:val="DefaultParagraphFont"/>
    <w:uiPriority w:val="22"/>
    <w:qFormat/>
    <w:rsid w:val="00BE73DA"/>
    <w:rPr>
      <w:b/>
      <w:bCs/>
    </w:rPr>
  </w:style>
  <w:style w:type="paragraph" w:customStyle="1" w:styleId="embeddownload">
    <w:name w:val="embed_download"/>
    <w:basedOn w:val="Normal"/>
    <w:rsid w:val="00BE73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3DA"/>
    <w:pPr>
      <w:ind w:left="720"/>
      <w:contextualSpacing/>
    </w:pPr>
  </w:style>
  <w:style w:type="character" w:styleId="Emphasis">
    <w:name w:val="Emphasis"/>
    <w:basedOn w:val="DefaultParagraphFont"/>
    <w:uiPriority w:val="20"/>
    <w:qFormat/>
    <w:rsid w:val="007E337E"/>
    <w:rPr>
      <w:i/>
      <w:iCs/>
    </w:rPr>
  </w:style>
  <w:style w:type="character" w:styleId="UnresolvedMention">
    <w:name w:val="Unresolved Mention"/>
    <w:basedOn w:val="DefaultParagraphFont"/>
    <w:uiPriority w:val="99"/>
    <w:rsid w:val="00BD2C0E"/>
    <w:rPr>
      <w:color w:val="605E5C"/>
      <w:shd w:val="clear" w:color="auto" w:fill="E1DFDD"/>
    </w:rPr>
  </w:style>
  <w:style w:type="table" w:styleId="TableGrid">
    <w:name w:val="Table Grid"/>
    <w:basedOn w:val="TableNormal"/>
    <w:uiPriority w:val="39"/>
    <w:rsid w:val="0093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4981">
      <w:bodyDiv w:val="1"/>
      <w:marLeft w:val="0"/>
      <w:marRight w:val="0"/>
      <w:marTop w:val="0"/>
      <w:marBottom w:val="0"/>
      <w:divBdr>
        <w:top w:val="none" w:sz="0" w:space="0" w:color="auto"/>
        <w:left w:val="none" w:sz="0" w:space="0" w:color="auto"/>
        <w:bottom w:val="none" w:sz="0" w:space="0" w:color="auto"/>
        <w:right w:val="none" w:sz="0" w:space="0" w:color="auto"/>
      </w:divBdr>
      <w:divsChild>
        <w:div w:id="1088236518">
          <w:marLeft w:val="0"/>
          <w:marRight w:val="0"/>
          <w:marTop w:val="0"/>
          <w:marBottom w:val="0"/>
          <w:divBdr>
            <w:top w:val="none" w:sz="0" w:space="0" w:color="auto"/>
            <w:left w:val="none" w:sz="0" w:space="0" w:color="auto"/>
            <w:bottom w:val="none" w:sz="0" w:space="0" w:color="auto"/>
            <w:right w:val="none" w:sz="0" w:space="0" w:color="auto"/>
          </w:divBdr>
          <w:divsChild>
            <w:div w:id="365104881">
              <w:marLeft w:val="0"/>
              <w:marRight w:val="0"/>
              <w:marTop w:val="0"/>
              <w:marBottom w:val="0"/>
              <w:divBdr>
                <w:top w:val="none" w:sz="0" w:space="0" w:color="auto"/>
                <w:left w:val="none" w:sz="0" w:space="0" w:color="auto"/>
                <w:bottom w:val="none" w:sz="0" w:space="0" w:color="auto"/>
                <w:right w:val="none" w:sz="0" w:space="0" w:color="auto"/>
              </w:divBdr>
              <w:divsChild>
                <w:div w:id="175386244">
                  <w:marLeft w:val="0"/>
                  <w:marRight w:val="0"/>
                  <w:marTop w:val="0"/>
                  <w:marBottom w:val="0"/>
                  <w:divBdr>
                    <w:top w:val="none" w:sz="0" w:space="0" w:color="auto"/>
                    <w:left w:val="none" w:sz="0" w:space="0" w:color="auto"/>
                    <w:bottom w:val="none" w:sz="0" w:space="0" w:color="auto"/>
                    <w:right w:val="none" w:sz="0" w:space="0" w:color="auto"/>
                  </w:divBdr>
                  <w:divsChild>
                    <w:div w:id="550969617">
                      <w:marLeft w:val="0"/>
                      <w:marRight w:val="0"/>
                      <w:marTop w:val="0"/>
                      <w:marBottom w:val="0"/>
                      <w:divBdr>
                        <w:top w:val="none" w:sz="0" w:space="0" w:color="auto"/>
                        <w:left w:val="none" w:sz="0" w:space="0" w:color="auto"/>
                        <w:bottom w:val="none" w:sz="0" w:space="0" w:color="auto"/>
                        <w:right w:val="none" w:sz="0" w:space="0" w:color="auto"/>
                      </w:divBdr>
                      <w:divsChild>
                        <w:div w:id="586235058">
                          <w:marLeft w:val="0"/>
                          <w:marRight w:val="0"/>
                          <w:marTop w:val="0"/>
                          <w:marBottom w:val="0"/>
                          <w:divBdr>
                            <w:top w:val="none" w:sz="0" w:space="0" w:color="auto"/>
                            <w:left w:val="none" w:sz="0" w:space="0" w:color="auto"/>
                            <w:bottom w:val="none" w:sz="0" w:space="0" w:color="auto"/>
                            <w:right w:val="none" w:sz="0" w:space="0" w:color="auto"/>
                          </w:divBdr>
                          <w:divsChild>
                            <w:div w:id="1290477291">
                              <w:marLeft w:val="0"/>
                              <w:marRight w:val="0"/>
                              <w:marTop w:val="0"/>
                              <w:marBottom w:val="0"/>
                              <w:divBdr>
                                <w:top w:val="none" w:sz="0" w:space="0" w:color="auto"/>
                                <w:left w:val="none" w:sz="0" w:space="0" w:color="auto"/>
                                <w:bottom w:val="none" w:sz="0" w:space="0" w:color="auto"/>
                                <w:right w:val="none" w:sz="0" w:space="0" w:color="auto"/>
                              </w:divBdr>
                              <w:divsChild>
                                <w:div w:id="1497458720">
                                  <w:marLeft w:val="0"/>
                                  <w:marRight w:val="0"/>
                                  <w:marTop w:val="0"/>
                                  <w:marBottom w:val="0"/>
                                  <w:divBdr>
                                    <w:top w:val="none" w:sz="0" w:space="0" w:color="auto"/>
                                    <w:left w:val="none" w:sz="0" w:space="0" w:color="auto"/>
                                    <w:bottom w:val="none" w:sz="0" w:space="0" w:color="auto"/>
                                    <w:right w:val="none" w:sz="0" w:space="0" w:color="auto"/>
                                  </w:divBdr>
                                  <w:divsChild>
                                    <w:div w:id="45035916">
                                      <w:marLeft w:val="0"/>
                                      <w:marRight w:val="0"/>
                                      <w:marTop w:val="0"/>
                                      <w:marBottom w:val="0"/>
                                      <w:divBdr>
                                        <w:top w:val="none" w:sz="0" w:space="0" w:color="auto"/>
                                        <w:left w:val="none" w:sz="0" w:space="0" w:color="auto"/>
                                        <w:bottom w:val="none" w:sz="0" w:space="0" w:color="auto"/>
                                        <w:right w:val="none" w:sz="0" w:space="0" w:color="auto"/>
                                      </w:divBdr>
                                      <w:divsChild>
                                        <w:div w:id="11561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9582">
                                  <w:marLeft w:val="0"/>
                                  <w:marRight w:val="0"/>
                                  <w:marTop w:val="0"/>
                                  <w:marBottom w:val="450"/>
                                  <w:divBdr>
                                    <w:top w:val="none" w:sz="0" w:space="0" w:color="auto"/>
                                    <w:left w:val="none" w:sz="0" w:space="0" w:color="auto"/>
                                    <w:bottom w:val="none" w:sz="0" w:space="0" w:color="auto"/>
                                    <w:right w:val="none" w:sz="0" w:space="0" w:color="auto"/>
                                  </w:divBdr>
                                  <w:divsChild>
                                    <w:div w:id="1254707185">
                                      <w:marLeft w:val="0"/>
                                      <w:marRight w:val="0"/>
                                      <w:marTop w:val="0"/>
                                      <w:marBottom w:val="0"/>
                                      <w:divBdr>
                                        <w:top w:val="none" w:sz="0" w:space="0" w:color="auto"/>
                                        <w:left w:val="none" w:sz="0" w:space="0" w:color="auto"/>
                                        <w:bottom w:val="none" w:sz="0" w:space="0" w:color="auto"/>
                                        <w:right w:val="none" w:sz="0" w:space="0" w:color="auto"/>
                                      </w:divBdr>
                                    </w:div>
                                  </w:divsChild>
                                </w:div>
                                <w:div w:id="337511850">
                                  <w:marLeft w:val="0"/>
                                  <w:marRight w:val="0"/>
                                  <w:marTop w:val="0"/>
                                  <w:marBottom w:val="450"/>
                                  <w:divBdr>
                                    <w:top w:val="none" w:sz="0" w:space="0" w:color="auto"/>
                                    <w:left w:val="none" w:sz="0" w:space="0" w:color="auto"/>
                                    <w:bottom w:val="none" w:sz="0" w:space="0" w:color="auto"/>
                                    <w:right w:val="none" w:sz="0" w:space="0" w:color="auto"/>
                                  </w:divBdr>
                                  <w:divsChild>
                                    <w:div w:id="451553787">
                                      <w:marLeft w:val="0"/>
                                      <w:marRight w:val="0"/>
                                      <w:marTop w:val="0"/>
                                      <w:marBottom w:val="0"/>
                                      <w:divBdr>
                                        <w:top w:val="none" w:sz="0" w:space="0" w:color="auto"/>
                                        <w:left w:val="none" w:sz="0" w:space="0" w:color="auto"/>
                                        <w:bottom w:val="none" w:sz="0" w:space="0" w:color="auto"/>
                                        <w:right w:val="none" w:sz="0" w:space="0" w:color="auto"/>
                                      </w:divBdr>
                                      <w:divsChild>
                                        <w:div w:id="423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0871">
                                  <w:marLeft w:val="0"/>
                                  <w:marRight w:val="0"/>
                                  <w:marTop w:val="0"/>
                                  <w:marBottom w:val="450"/>
                                  <w:divBdr>
                                    <w:top w:val="none" w:sz="0" w:space="0" w:color="auto"/>
                                    <w:left w:val="none" w:sz="0" w:space="0" w:color="auto"/>
                                    <w:bottom w:val="none" w:sz="0" w:space="0" w:color="auto"/>
                                    <w:right w:val="none" w:sz="0" w:space="0" w:color="auto"/>
                                  </w:divBdr>
                                  <w:divsChild>
                                    <w:div w:id="1498306866">
                                      <w:marLeft w:val="0"/>
                                      <w:marRight w:val="0"/>
                                      <w:marTop w:val="0"/>
                                      <w:marBottom w:val="0"/>
                                      <w:divBdr>
                                        <w:top w:val="none" w:sz="0" w:space="0" w:color="auto"/>
                                        <w:left w:val="none" w:sz="0" w:space="0" w:color="auto"/>
                                        <w:bottom w:val="none" w:sz="0" w:space="0" w:color="auto"/>
                                        <w:right w:val="none" w:sz="0" w:space="0" w:color="auto"/>
                                      </w:divBdr>
                                    </w:div>
                                  </w:divsChild>
                                </w:div>
                                <w:div w:id="387923564">
                                  <w:marLeft w:val="0"/>
                                  <w:marRight w:val="0"/>
                                  <w:marTop w:val="0"/>
                                  <w:marBottom w:val="450"/>
                                  <w:divBdr>
                                    <w:top w:val="none" w:sz="0" w:space="0" w:color="auto"/>
                                    <w:left w:val="none" w:sz="0" w:space="0" w:color="auto"/>
                                    <w:bottom w:val="none" w:sz="0" w:space="0" w:color="auto"/>
                                    <w:right w:val="none" w:sz="0" w:space="0" w:color="auto"/>
                                  </w:divBdr>
                                  <w:divsChild>
                                    <w:div w:id="166986512">
                                      <w:marLeft w:val="0"/>
                                      <w:marRight w:val="0"/>
                                      <w:marTop w:val="0"/>
                                      <w:marBottom w:val="0"/>
                                      <w:divBdr>
                                        <w:top w:val="none" w:sz="0" w:space="0" w:color="auto"/>
                                        <w:left w:val="none" w:sz="0" w:space="0" w:color="auto"/>
                                        <w:bottom w:val="none" w:sz="0" w:space="0" w:color="auto"/>
                                        <w:right w:val="none" w:sz="0" w:space="0" w:color="auto"/>
                                      </w:divBdr>
                                      <w:divsChild>
                                        <w:div w:id="1853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2026">
                                  <w:marLeft w:val="0"/>
                                  <w:marRight w:val="0"/>
                                  <w:marTop w:val="0"/>
                                  <w:marBottom w:val="450"/>
                                  <w:divBdr>
                                    <w:top w:val="none" w:sz="0" w:space="0" w:color="auto"/>
                                    <w:left w:val="none" w:sz="0" w:space="0" w:color="auto"/>
                                    <w:bottom w:val="none" w:sz="0" w:space="0" w:color="auto"/>
                                    <w:right w:val="none" w:sz="0" w:space="0" w:color="auto"/>
                                  </w:divBdr>
                                  <w:divsChild>
                                    <w:div w:id="1168254257">
                                      <w:marLeft w:val="0"/>
                                      <w:marRight w:val="0"/>
                                      <w:marTop w:val="0"/>
                                      <w:marBottom w:val="0"/>
                                      <w:divBdr>
                                        <w:top w:val="none" w:sz="0" w:space="0" w:color="auto"/>
                                        <w:left w:val="none" w:sz="0" w:space="0" w:color="auto"/>
                                        <w:bottom w:val="none" w:sz="0" w:space="0" w:color="auto"/>
                                        <w:right w:val="none" w:sz="0" w:space="0" w:color="auto"/>
                                      </w:divBdr>
                                    </w:div>
                                  </w:divsChild>
                                </w:div>
                                <w:div w:id="699597951">
                                  <w:marLeft w:val="0"/>
                                  <w:marRight w:val="0"/>
                                  <w:marTop w:val="0"/>
                                  <w:marBottom w:val="450"/>
                                  <w:divBdr>
                                    <w:top w:val="none" w:sz="0" w:space="0" w:color="auto"/>
                                    <w:left w:val="none" w:sz="0" w:space="0" w:color="auto"/>
                                    <w:bottom w:val="none" w:sz="0" w:space="0" w:color="auto"/>
                                    <w:right w:val="none" w:sz="0" w:space="0" w:color="auto"/>
                                  </w:divBdr>
                                  <w:divsChild>
                                    <w:div w:id="1042560348">
                                      <w:marLeft w:val="0"/>
                                      <w:marRight w:val="0"/>
                                      <w:marTop w:val="0"/>
                                      <w:marBottom w:val="0"/>
                                      <w:divBdr>
                                        <w:top w:val="none" w:sz="0" w:space="0" w:color="auto"/>
                                        <w:left w:val="none" w:sz="0" w:space="0" w:color="auto"/>
                                        <w:bottom w:val="none" w:sz="0" w:space="0" w:color="auto"/>
                                        <w:right w:val="none" w:sz="0" w:space="0" w:color="auto"/>
                                      </w:divBdr>
                                      <w:divsChild>
                                        <w:div w:id="1194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6574">
                                  <w:marLeft w:val="0"/>
                                  <w:marRight w:val="0"/>
                                  <w:marTop w:val="0"/>
                                  <w:marBottom w:val="0"/>
                                  <w:divBdr>
                                    <w:top w:val="none" w:sz="0" w:space="0" w:color="auto"/>
                                    <w:left w:val="none" w:sz="0" w:space="0" w:color="auto"/>
                                    <w:bottom w:val="none" w:sz="0" w:space="0" w:color="auto"/>
                                    <w:right w:val="none" w:sz="0" w:space="0" w:color="auto"/>
                                  </w:divBdr>
                                  <w:divsChild>
                                    <w:div w:id="3005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825462">
          <w:marLeft w:val="0"/>
          <w:marRight w:val="0"/>
          <w:marTop w:val="0"/>
          <w:marBottom w:val="0"/>
          <w:divBdr>
            <w:top w:val="none" w:sz="0" w:space="0" w:color="auto"/>
            <w:left w:val="none" w:sz="0" w:space="0" w:color="auto"/>
            <w:bottom w:val="none" w:sz="0" w:space="0" w:color="auto"/>
            <w:right w:val="none" w:sz="0" w:space="0" w:color="auto"/>
          </w:divBdr>
          <w:divsChild>
            <w:div w:id="238027660">
              <w:marLeft w:val="0"/>
              <w:marRight w:val="0"/>
              <w:marTop w:val="0"/>
              <w:marBottom w:val="0"/>
              <w:divBdr>
                <w:top w:val="none" w:sz="0" w:space="0" w:color="auto"/>
                <w:left w:val="none" w:sz="0" w:space="0" w:color="auto"/>
                <w:bottom w:val="none" w:sz="0" w:space="0" w:color="auto"/>
                <w:right w:val="none" w:sz="0" w:space="0" w:color="auto"/>
              </w:divBdr>
              <w:divsChild>
                <w:div w:id="1684430394">
                  <w:marLeft w:val="0"/>
                  <w:marRight w:val="0"/>
                  <w:marTop w:val="0"/>
                  <w:marBottom w:val="0"/>
                  <w:divBdr>
                    <w:top w:val="none" w:sz="0" w:space="0" w:color="auto"/>
                    <w:left w:val="none" w:sz="0" w:space="0" w:color="auto"/>
                    <w:bottom w:val="none" w:sz="0" w:space="0" w:color="auto"/>
                    <w:right w:val="none" w:sz="0" w:space="0" w:color="auto"/>
                  </w:divBdr>
                  <w:divsChild>
                    <w:div w:id="220361068">
                      <w:marLeft w:val="0"/>
                      <w:marRight w:val="0"/>
                      <w:marTop w:val="0"/>
                      <w:marBottom w:val="0"/>
                      <w:divBdr>
                        <w:top w:val="none" w:sz="0" w:space="0" w:color="auto"/>
                        <w:left w:val="none" w:sz="0" w:space="0" w:color="auto"/>
                        <w:bottom w:val="none" w:sz="0" w:space="0" w:color="auto"/>
                        <w:right w:val="none" w:sz="0" w:space="0" w:color="auto"/>
                      </w:divBdr>
                      <w:divsChild>
                        <w:div w:id="463235523">
                          <w:marLeft w:val="0"/>
                          <w:marRight w:val="0"/>
                          <w:marTop w:val="0"/>
                          <w:marBottom w:val="0"/>
                          <w:divBdr>
                            <w:top w:val="none" w:sz="0" w:space="0" w:color="auto"/>
                            <w:left w:val="none" w:sz="0" w:space="0" w:color="auto"/>
                            <w:bottom w:val="none" w:sz="0" w:space="0" w:color="auto"/>
                            <w:right w:val="none" w:sz="0" w:space="0" w:color="auto"/>
                          </w:divBdr>
                          <w:divsChild>
                            <w:div w:id="1495294365">
                              <w:marLeft w:val="0"/>
                              <w:marRight w:val="0"/>
                              <w:marTop w:val="0"/>
                              <w:marBottom w:val="450"/>
                              <w:divBdr>
                                <w:top w:val="none" w:sz="0" w:space="0" w:color="auto"/>
                                <w:left w:val="none" w:sz="0" w:space="0" w:color="auto"/>
                                <w:bottom w:val="none" w:sz="0" w:space="0" w:color="auto"/>
                                <w:right w:val="none" w:sz="0" w:space="0" w:color="auto"/>
                              </w:divBdr>
                              <w:divsChild>
                                <w:div w:id="857040115">
                                  <w:marLeft w:val="0"/>
                                  <w:marRight w:val="0"/>
                                  <w:marTop w:val="0"/>
                                  <w:marBottom w:val="0"/>
                                  <w:divBdr>
                                    <w:top w:val="none" w:sz="0" w:space="0" w:color="auto"/>
                                    <w:left w:val="none" w:sz="0" w:space="0" w:color="auto"/>
                                    <w:bottom w:val="none" w:sz="0" w:space="0" w:color="auto"/>
                                    <w:right w:val="none" w:sz="0" w:space="0" w:color="auto"/>
                                  </w:divBdr>
                                </w:div>
                              </w:divsChild>
                            </w:div>
                            <w:div w:id="2051875959">
                              <w:marLeft w:val="0"/>
                              <w:marRight w:val="0"/>
                              <w:marTop w:val="0"/>
                              <w:marBottom w:val="450"/>
                              <w:divBdr>
                                <w:top w:val="none" w:sz="0" w:space="0" w:color="auto"/>
                                <w:left w:val="none" w:sz="0" w:space="0" w:color="auto"/>
                                <w:bottom w:val="none" w:sz="0" w:space="0" w:color="auto"/>
                                <w:right w:val="none" w:sz="0" w:space="0" w:color="auto"/>
                              </w:divBdr>
                              <w:divsChild>
                                <w:div w:id="1113287480">
                                  <w:marLeft w:val="0"/>
                                  <w:marRight w:val="0"/>
                                  <w:marTop w:val="0"/>
                                  <w:marBottom w:val="0"/>
                                  <w:divBdr>
                                    <w:top w:val="none" w:sz="0" w:space="0" w:color="auto"/>
                                    <w:left w:val="none" w:sz="0" w:space="0" w:color="auto"/>
                                    <w:bottom w:val="none" w:sz="0" w:space="0" w:color="auto"/>
                                    <w:right w:val="none" w:sz="0" w:space="0" w:color="auto"/>
                                  </w:divBdr>
                                  <w:divsChild>
                                    <w:div w:id="19380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6410">
                              <w:marLeft w:val="0"/>
                              <w:marRight w:val="0"/>
                              <w:marTop w:val="0"/>
                              <w:marBottom w:val="0"/>
                              <w:divBdr>
                                <w:top w:val="none" w:sz="0" w:space="0" w:color="auto"/>
                                <w:left w:val="none" w:sz="0" w:space="0" w:color="auto"/>
                                <w:bottom w:val="none" w:sz="0" w:space="0" w:color="auto"/>
                                <w:right w:val="none" w:sz="0" w:space="0" w:color="auto"/>
                              </w:divBdr>
                              <w:divsChild>
                                <w:div w:id="13775322">
                                  <w:marLeft w:val="0"/>
                                  <w:marRight w:val="0"/>
                                  <w:marTop w:val="0"/>
                                  <w:marBottom w:val="0"/>
                                  <w:divBdr>
                                    <w:top w:val="none" w:sz="0" w:space="0" w:color="auto"/>
                                    <w:left w:val="none" w:sz="0" w:space="0" w:color="auto"/>
                                    <w:bottom w:val="none" w:sz="0" w:space="0" w:color="auto"/>
                                    <w:right w:val="none" w:sz="0" w:space="0" w:color="auto"/>
                                  </w:divBdr>
                                  <w:divsChild>
                                    <w:div w:id="569927957">
                                      <w:marLeft w:val="0"/>
                                      <w:marRight w:val="0"/>
                                      <w:marTop w:val="0"/>
                                      <w:marBottom w:val="0"/>
                                      <w:divBdr>
                                        <w:top w:val="none" w:sz="0" w:space="0" w:color="auto"/>
                                        <w:left w:val="none" w:sz="0" w:space="0" w:color="auto"/>
                                        <w:bottom w:val="none" w:sz="0" w:space="0" w:color="auto"/>
                                        <w:right w:val="none" w:sz="0" w:space="0" w:color="auto"/>
                                      </w:divBdr>
                                      <w:divsChild>
                                        <w:div w:id="18543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02987">
          <w:marLeft w:val="0"/>
          <w:marRight w:val="0"/>
          <w:marTop w:val="0"/>
          <w:marBottom w:val="0"/>
          <w:divBdr>
            <w:top w:val="none" w:sz="0" w:space="0" w:color="auto"/>
            <w:left w:val="none" w:sz="0" w:space="0" w:color="auto"/>
            <w:bottom w:val="none" w:sz="0" w:space="0" w:color="auto"/>
            <w:right w:val="none" w:sz="0" w:space="0" w:color="auto"/>
          </w:divBdr>
          <w:divsChild>
            <w:div w:id="1291595294">
              <w:marLeft w:val="0"/>
              <w:marRight w:val="0"/>
              <w:marTop w:val="0"/>
              <w:marBottom w:val="0"/>
              <w:divBdr>
                <w:top w:val="none" w:sz="0" w:space="0" w:color="auto"/>
                <w:left w:val="none" w:sz="0" w:space="0" w:color="auto"/>
                <w:bottom w:val="none" w:sz="0" w:space="0" w:color="auto"/>
                <w:right w:val="none" w:sz="0" w:space="0" w:color="auto"/>
              </w:divBdr>
              <w:divsChild>
                <w:div w:id="700059334">
                  <w:marLeft w:val="0"/>
                  <w:marRight w:val="0"/>
                  <w:marTop w:val="0"/>
                  <w:marBottom w:val="0"/>
                  <w:divBdr>
                    <w:top w:val="none" w:sz="0" w:space="0" w:color="auto"/>
                    <w:left w:val="none" w:sz="0" w:space="0" w:color="auto"/>
                    <w:bottom w:val="none" w:sz="0" w:space="0" w:color="auto"/>
                    <w:right w:val="none" w:sz="0" w:space="0" w:color="auto"/>
                  </w:divBdr>
                  <w:divsChild>
                    <w:div w:id="1744057939">
                      <w:marLeft w:val="0"/>
                      <w:marRight w:val="0"/>
                      <w:marTop w:val="0"/>
                      <w:marBottom w:val="0"/>
                      <w:divBdr>
                        <w:top w:val="none" w:sz="0" w:space="0" w:color="auto"/>
                        <w:left w:val="none" w:sz="0" w:space="0" w:color="auto"/>
                        <w:bottom w:val="none" w:sz="0" w:space="0" w:color="auto"/>
                        <w:right w:val="none" w:sz="0" w:space="0" w:color="auto"/>
                      </w:divBdr>
                      <w:divsChild>
                        <w:div w:id="1033771009">
                          <w:marLeft w:val="0"/>
                          <w:marRight w:val="0"/>
                          <w:marTop w:val="0"/>
                          <w:marBottom w:val="0"/>
                          <w:divBdr>
                            <w:top w:val="none" w:sz="0" w:space="0" w:color="auto"/>
                            <w:left w:val="none" w:sz="0" w:space="0" w:color="auto"/>
                            <w:bottom w:val="none" w:sz="0" w:space="0" w:color="auto"/>
                            <w:right w:val="none" w:sz="0" w:space="0" w:color="auto"/>
                          </w:divBdr>
                          <w:divsChild>
                            <w:div w:id="1106467600">
                              <w:marLeft w:val="0"/>
                              <w:marRight w:val="0"/>
                              <w:marTop w:val="0"/>
                              <w:marBottom w:val="450"/>
                              <w:divBdr>
                                <w:top w:val="none" w:sz="0" w:space="0" w:color="auto"/>
                                <w:left w:val="none" w:sz="0" w:space="0" w:color="auto"/>
                                <w:bottom w:val="none" w:sz="0" w:space="0" w:color="auto"/>
                                <w:right w:val="none" w:sz="0" w:space="0" w:color="auto"/>
                              </w:divBdr>
                              <w:divsChild>
                                <w:div w:id="109325540">
                                  <w:marLeft w:val="0"/>
                                  <w:marRight w:val="0"/>
                                  <w:marTop w:val="0"/>
                                  <w:marBottom w:val="0"/>
                                  <w:divBdr>
                                    <w:top w:val="none" w:sz="0" w:space="0" w:color="auto"/>
                                    <w:left w:val="none" w:sz="0" w:space="0" w:color="auto"/>
                                    <w:bottom w:val="none" w:sz="0" w:space="0" w:color="auto"/>
                                    <w:right w:val="none" w:sz="0" w:space="0" w:color="auto"/>
                                  </w:divBdr>
                                </w:div>
                              </w:divsChild>
                            </w:div>
                            <w:div w:id="1060982889">
                              <w:marLeft w:val="0"/>
                              <w:marRight w:val="0"/>
                              <w:marTop w:val="0"/>
                              <w:marBottom w:val="450"/>
                              <w:divBdr>
                                <w:top w:val="none" w:sz="0" w:space="0" w:color="auto"/>
                                <w:left w:val="none" w:sz="0" w:space="0" w:color="auto"/>
                                <w:bottom w:val="none" w:sz="0" w:space="0" w:color="auto"/>
                                <w:right w:val="none" w:sz="0" w:space="0" w:color="auto"/>
                              </w:divBdr>
                              <w:divsChild>
                                <w:div w:id="40709558">
                                  <w:marLeft w:val="0"/>
                                  <w:marRight w:val="0"/>
                                  <w:marTop w:val="0"/>
                                  <w:marBottom w:val="0"/>
                                  <w:divBdr>
                                    <w:top w:val="none" w:sz="0" w:space="0" w:color="auto"/>
                                    <w:left w:val="none" w:sz="0" w:space="0" w:color="auto"/>
                                    <w:bottom w:val="none" w:sz="0" w:space="0" w:color="auto"/>
                                    <w:right w:val="none" w:sz="0" w:space="0" w:color="auto"/>
                                  </w:divBdr>
                                  <w:divsChild>
                                    <w:div w:id="502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901">
                              <w:marLeft w:val="0"/>
                              <w:marRight w:val="0"/>
                              <w:marTop w:val="0"/>
                              <w:marBottom w:val="450"/>
                              <w:divBdr>
                                <w:top w:val="none" w:sz="0" w:space="0" w:color="auto"/>
                                <w:left w:val="none" w:sz="0" w:space="0" w:color="auto"/>
                                <w:bottom w:val="none" w:sz="0" w:space="0" w:color="auto"/>
                                <w:right w:val="none" w:sz="0" w:space="0" w:color="auto"/>
                              </w:divBdr>
                              <w:divsChild>
                                <w:div w:id="698359595">
                                  <w:marLeft w:val="0"/>
                                  <w:marRight w:val="0"/>
                                  <w:marTop w:val="0"/>
                                  <w:marBottom w:val="0"/>
                                  <w:divBdr>
                                    <w:top w:val="none" w:sz="0" w:space="0" w:color="auto"/>
                                    <w:left w:val="none" w:sz="0" w:space="0" w:color="auto"/>
                                    <w:bottom w:val="none" w:sz="0" w:space="0" w:color="auto"/>
                                    <w:right w:val="none" w:sz="0" w:space="0" w:color="auto"/>
                                  </w:divBdr>
                                  <w:divsChild>
                                    <w:div w:id="733085980">
                                      <w:marLeft w:val="0"/>
                                      <w:marRight w:val="0"/>
                                      <w:marTop w:val="0"/>
                                      <w:marBottom w:val="0"/>
                                      <w:divBdr>
                                        <w:top w:val="none" w:sz="0" w:space="0" w:color="auto"/>
                                        <w:left w:val="none" w:sz="0" w:space="0" w:color="auto"/>
                                        <w:bottom w:val="none" w:sz="0" w:space="0" w:color="auto"/>
                                        <w:right w:val="none" w:sz="0" w:space="0" w:color="auto"/>
                                      </w:divBdr>
                                      <w:divsChild>
                                        <w:div w:id="1671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481546">
          <w:marLeft w:val="0"/>
          <w:marRight w:val="0"/>
          <w:marTop w:val="0"/>
          <w:marBottom w:val="0"/>
          <w:divBdr>
            <w:top w:val="none" w:sz="0" w:space="0" w:color="auto"/>
            <w:left w:val="none" w:sz="0" w:space="0" w:color="auto"/>
            <w:bottom w:val="none" w:sz="0" w:space="0" w:color="auto"/>
            <w:right w:val="none" w:sz="0" w:space="0" w:color="auto"/>
          </w:divBdr>
          <w:divsChild>
            <w:div w:id="1203060673">
              <w:marLeft w:val="0"/>
              <w:marRight w:val="0"/>
              <w:marTop w:val="0"/>
              <w:marBottom w:val="0"/>
              <w:divBdr>
                <w:top w:val="none" w:sz="0" w:space="0" w:color="auto"/>
                <w:left w:val="none" w:sz="0" w:space="0" w:color="auto"/>
                <w:bottom w:val="none" w:sz="0" w:space="0" w:color="auto"/>
                <w:right w:val="none" w:sz="0" w:space="0" w:color="auto"/>
              </w:divBdr>
              <w:divsChild>
                <w:div w:id="657152765">
                  <w:marLeft w:val="0"/>
                  <w:marRight w:val="0"/>
                  <w:marTop w:val="0"/>
                  <w:marBottom w:val="0"/>
                  <w:divBdr>
                    <w:top w:val="none" w:sz="0" w:space="0" w:color="auto"/>
                    <w:left w:val="none" w:sz="0" w:space="0" w:color="auto"/>
                    <w:bottom w:val="none" w:sz="0" w:space="0" w:color="auto"/>
                    <w:right w:val="none" w:sz="0" w:space="0" w:color="auto"/>
                  </w:divBdr>
                  <w:divsChild>
                    <w:div w:id="344669062">
                      <w:marLeft w:val="0"/>
                      <w:marRight w:val="0"/>
                      <w:marTop w:val="0"/>
                      <w:marBottom w:val="0"/>
                      <w:divBdr>
                        <w:top w:val="none" w:sz="0" w:space="0" w:color="auto"/>
                        <w:left w:val="none" w:sz="0" w:space="0" w:color="auto"/>
                        <w:bottom w:val="none" w:sz="0" w:space="0" w:color="auto"/>
                        <w:right w:val="none" w:sz="0" w:space="0" w:color="auto"/>
                      </w:divBdr>
                      <w:divsChild>
                        <w:div w:id="900137154">
                          <w:marLeft w:val="0"/>
                          <w:marRight w:val="0"/>
                          <w:marTop w:val="0"/>
                          <w:marBottom w:val="0"/>
                          <w:divBdr>
                            <w:top w:val="none" w:sz="0" w:space="0" w:color="auto"/>
                            <w:left w:val="none" w:sz="0" w:space="0" w:color="auto"/>
                            <w:bottom w:val="none" w:sz="0" w:space="0" w:color="auto"/>
                            <w:right w:val="none" w:sz="0" w:space="0" w:color="auto"/>
                          </w:divBdr>
                          <w:divsChild>
                            <w:div w:id="2027251438">
                              <w:marLeft w:val="0"/>
                              <w:marRight w:val="0"/>
                              <w:marTop w:val="0"/>
                              <w:marBottom w:val="450"/>
                              <w:divBdr>
                                <w:top w:val="none" w:sz="0" w:space="0" w:color="auto"/>
                                <w:left w:val="none" w:sz="0" w:space="0" w:color="auto"/>
                                <w:bottom w:val="none" w:sz="0" w:space="0" w:color="auto"/>
                                <w:right w:val="none" w:sz="0" w:space="0" w:color="auto"/>
                              </w:divBdr>
                              <w:divsChild>
                                <w:div w:id="1847750373">
                                  <w:marLeft w:val="0"/>
                                  <w:marRight w:val="0"/>
                                  <w:marTop w:val="0"/>
                                  <w:marBottom w:val="0"/>
                                  <w:divBdr>
                                    <w:top w:val="none" w:sz="0" w:space="0" w:color="auto"/>
                                    <w:left w:val="none" w:sz="0" w:space="0" w:color="auto"/>
                                    <w:bottom w:val="none" w:sz="0" w:space="0" w:color="auto"/>
                                    <w:right w:val="none" w:sz="0" w:space="0" w:color="auto"/>
                                  </w:divBdr>
                                </w:div>
                              </w:divsChild>
                            </w:div>
                            <w:div w:id="937952347">
                              <w:marLeft w:val="0"/>
                              <w:marRight w:val="0"/>
                              <w:marTop w:val="0"/>
                              <w:marBottom w:val="450"/>
                              <w:divBdr>
                                <w:top w:val="none" w:sz="0" w:space="0" w:color="auto"/>
                                <w:left w:val="none" w:sz="0" w:space="0" w:color="auto"/>
                                <w:bottom w:val="none" w:sz="0" w:space="0" w:color="auto"/>
                                <w:right w:val="none" w:sz="0" w:space="0" w:color="auto"/>
                              </w:divBdr>
                              <w:divsChild>
                                <w:div w:id="2104840109">
                                  <w:marLeft w:val="0"/>
                                  <w:marRight w:val="0"/>
                                  <w:marTop w:val="0"/>
                                  <w:marBottom w:val="0"/>
                                  <w:divBdr>
                                    <w:top w:val="none" w:sz="0" w:space="0" w:color="auto"/>
                                    <w:left w:val="none" w:sz="0" w:space="0" w:color="auto"/>
                                    <w:bottom w:val="none" w:sz="0" w:space="0" w:color="auto"/>
                                    <w:right w:val="none" w:sz="0" w:space="0" w:color="auto"/>
                                  </w:divBdr>
                                  <w:divsChild>
                                    <w:div w:id="679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7090">
                              <w:marLeft w:val="0"/>
                              <w:marRight w:val="0"/>
                              <w:marTop w:val="0"/>
                              <w:marBottom w:val="450"/>
                              <w:divBdr>
                                <w:top w:val="none" w:sz="0" w:space="0" w:color="auto"/>
                                <w:left w:val="none" w:sz="0" w:space="0" w:color="auto"/>
                                <w:bottom w:val="none" w:sz="0" w:space="0" w:color="auto"/>
                                <w:right w:val="none" w:sz="0" w:space="0" w:color="auto"/>
                              </w:divBdr>
                              <w:divsChild>
                                <w:div w:id="734208882">
                                  <w:marLeft w:val="0"/>
                                  <w:marRight w:val="0"/>
                                  <w:marTop w:val="0"/>
                                  <w:marBottom w:val="0"/>
                                  <w:divBdr>
                                    <w:top w:val="none" w:sz="0" w:space="0" w:color="auto"/>
                                    <w:left w:val="none" w:sz="0" w:space="0" w:color="auto"/>
                                    <w:bottom w:val="none" w:sz="0" w:space="0" w:color="auto"/>
                                    <w:right w:val="none" w:sz="0" w:space="0" w:color="auto"/>
                                  </w:divBdr>
                                </w:div>
                              </w:divsChild>
                            </w:div>
                            <w:div w:id="188878300">
                              <w:marLeft w:val="0"/>
                              <w:marRight w:val="0"/>
                              <w:marTop w:val="0"/>
                              <w:marBottom w:val="0"/>
                              <w:divBdr>
                                <w:top w:val="none" w:sz="0" w:space="0" w:color="auto"/>
                                <w:left w:val="none" w:sz="0" w:space="0" w:color="auto"/>
                                <w:bottom w:val="none" w:sz="0" w:space="0" w:color="auto"/>
                                <w:right w:val="none" w:sz="0" w:space="0" w:color="auto"/>
                              </w:divBdr>
                              <w:divsChild>
                                <w:div w:id="1833719404">
                                  <w:marLeft w:val="0"/>
                                  <w:marRight w:val="0"/>
                                  <w:marTop w:val="0"/>
                                  <w:marBottom w:val="0"/>
                                  <w:divBdr>
                                    <w:top w:val="none" w:sz="0" w:space="0" w:color="auto"/>
                                    <w:left w:val="none" w:sz="0" w:space="0" w:color="auto"/>
                                    <w:bottom w:val="none" w:sz="0" w:space="0" w:color="auto"/>
                                    <w:right w:val="none" w:sz="0" w:space="0" w:color="auto"/>
                                  </w:divBdr>
                                  <w:divsChild>
                                    <w:div w:id="15926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57064">
      <w:bodyDiv w:val="1"/>
      <w:marLeft w:val="0"/>
      <w:marRight w:val="0"/>
      <w:marTop w:val="0"/>
      <w:marBottom w:val="0"/>
      <w:divBdr>
        <w:top w:val="none" w:sz="0" w:space="0" w:color="auto"/>
        <w:left w:val="none" w:sz="0" w:space="0" w:color="auto"/>
        <w:bottom w:val="none" w:sz="0" w:space="0" w:color="auto"/>
        <w:right w:val="none" w:sz="0" w:space="0" w:color="auto"/>
      </w:divBdr>
    </w:div>
    <w:div w:id="355623647">
      <w:bodyDiv w:val="1"/>
      <w:marLeft w:val="0"/>
      <w:marRight w:val="0"/>
      <w:marTop w:val="0"/>
      <w:marBottom w:val="0"/>
      <w:divBdr>
        <w:top w:val="none" w:sz="0" w:space="0" w:color="auto"/>
        <w:left w:val="none" w:sz="0" w:space="0" w:color="auto"/>
        <w:bottom w:val="none" w:sz="0" w:space="0" w:color="auto"/>
        <w:right w:val="none" w:sz="0" w:space="0" w:color="auto"/>
      </w:divBdr>
    </w:div>
    <w:div w:id="385035722">
      <w:bodyDiv w:val="1"/>
      <w:marLeft w:val="0"/>
      <w:marRight w:val="0"/>
      <w:marTop w:val="0"/>
      <w:marBottom w:val="0"/>
      <w:divBdr>
        <w:top w:val="none" w:sz="0" w:space="0" w:color="auto"/>
        <w:left w:val="none" w:sz="0" w:space="0" w:color="auto"/>
        <w:bottom w:val="none" w:sz="0" w:space="0" w:color="auto"/>
        <w:right w:val="none" w:sz="0" w:space="0" w:color="auto"/>
      </w:divBdr>
    </w:div>
    <w:div w:id="493495984">
      <w:bodyDiv w:val="1"/>
      <w:marLeft w:val="0"/>
      <w:marRight w:val="0"/>
      <w:marTop w:val="0"/>
      <w:marBottom w:val="0"/>
      <w:divBdr>
        <w:top w:val="none" w:sz="0" w:space="0" w:color="auto"/>
        <w:left w:val="none" w:sz="0" w:space="0" w:color="auto"/>
        <w:bottom w:val="none" w:sz="0" w:space="0" w:color="auto"/>
        <w:right w:val="none" w:sz="0" w:space="0" w:color="auto"/>
      </w:divBdr>
    </w:div>
    <w:div w:id="760611062">
      <w:bodyDiv w:val="1"/>
      <w:marLeft w:val="0"/>
      <w:marRight w:val="0"/>
      <w:marTop w:val="0"/>
      <w:marBottom w:val="0"/>
      <w:divBdr>
        <w:top w:val="none" w:sz="0" w:space="0" w:color="auto"/>
        <w:left w:val="none" w:sz="0" w:space="0" w:color="auto"/>
        <w:bottom w:val="none" w:sz="0" w:space="0" w:color="auto"/>
        <w:right w:val="none" w:sz="0" w:space="0" w:color="auto"/>
      </w:divBdr>
    </w:div>
    <w:div w:id="1156721988">
      <w:bodyDiv w:val="1"/>
      <w:marLeft w:val="0"/>
      <w:marRight w:val="0"/>
      <w:marTop w:val="0"/>
      <w:marBottom w:val="0"/>
      <w:divBdr>
        <w:top w:val="none" w:sz="0" w:space="0" w:color="auto"/>
        <w:left w:val="none" w:sz="0" w:space="0" w:color="auto"/>
        <w:bottom w:val="none" w:sz="0" w:space="0" w:color="auto"/>
        <w:right w:val="none" w:sz="0" w:space="0" w:color="auto"/>
      </w:divBdr>
    </w:div>
    <w:div w:id="1254053139">
      <w:bodyDiv w:val="1"/>
      <w:marLeft w:val="0"/>
      <w:marRight w:val="0"/>
      <w:marTop w:val="0"/>
      <w:marBottom w:val="0"/>
      <w:divBdr>
        <w:top w:val="none" w:sz="0" w:space="0" w:color="auto"/>
        <w:left w:val="none" w:sz="0" w:space="0" w:color="auto"/>
        <w:bottom w:val="none" w:sz="0" w:space="0" w:color="auto"/>
        <w:right w:val="none" w:sz="0" w:space="0" w:color="auto"/>
      </w:divBdr>
    </w:div>
    <w:div w:id="1298561245">
      <w:bodyDiv w:val="1"/>
      <w:marLeft w:val="0"/>
      <w:marRight w:val="0"/>
      <w:marTop w:val="0"/>
      <w:marBottom w:val="0"/>
      <w:divBdr>
        <w:top w:val="none" w:sz="0" w:space="0" w:color="auto"/>
        <w:left w:val="none" w:sz="0" w:space="0" w:color="auto"/>
        <w:bottom w:val="none" w:sz="0" w:space="0" w:color="auto"/>
        <w:right w:val="none" w:sz="0" w:space="0" w:color="auto"/>
      </w:divBdr>
    </w:div>
    <w:div w:id="1975867192">
      <w:bodyDiv w:val="1"/>
      <w:marLeft w:val="0"/>
      <w:marRight w:val="0"/>
      <w:marTop w:val="0"/>
      <w:marBottom w:val="0"/>
      <w:divBdr>
        <w:top w:val="none" w:sz="0" w:space="0" w:color="auto"/>
        <w:left w:val="none" w:sz="0" w:space="0" w:color="auto"/>
        <w:bottom w:val="none" w:sz="0" w:space="0" w:color="auto"/>
        <w:right w:val="none" w:sz="0" w:space="0" w:color="auto"/>
      </w:divBdr>
    </w:div>
    <w:div w:id="20511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pss70scor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Fainstad</dc:creator>
  <cp:keywords/>
  <dc:description/>
  <cp:lastModifiedBy>Yilin Zhang</cp:lastModifiedBy>
  <cp:revision>2</cp:revision>
  <dcterms:created xsi:type="dcterms:W3CDTF">2022-07-11T21:01:00Z</dcterms:created>
  <dcterms:modified xsi:type="dcterms:W3CDTF">2022-07-11T21:01:00Z</dcterms:modified>
</cp:coreProperties>
</file>