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3F8DD" w14:textId="77777777" w:rsidR="00E91247" w:rsidRPr="00D11FC4" w:rsidRDefault="00E91247" w:rsidP="00E91247">
      <w:pPr>
        <w:spacing w:after="0" w:line="240" w:lineRule="auto"/>
        <w:contextualSpacing/>
        <w:rPr>
          <w:rFonts w:eastAsia="Times New Roman" w:cstheme="minorHAnsi"/>
          <w:b/>
          <w:bCs/>
          <w:color w:val="000000" w:themeColor="text1"/>
        </w:rPr>
      </w:pPr>
      <w:r w:rsidRPr="00D11FC4">
        <w:rPr>
          <w:rFonts w:eastAsia="Times New Roman" w:cstheme="minorHAnsi"/>
          <w:b/>
          <w:bCs/>
        </w:rPr>
        <w:t xml:space="preserve">Author: </w:t>
      </w:r>
      <w:r w:rsidRPr="00D11FC4">
        <w:rPr>
          <w:rFonts w:eastAsia="Times New Roman" w:cstheme="minorHAnsi"/>
          <w:color w:val="000000" w:themeColor="text1"/>
        </w:rPr>
        <w:t>Nikki Zarling, MD</w:t>
      </w:r>
    </w:p>
    <w:p w14:paraId="5CFF064F" w14:textId="38721E28" w:rsidR="00E91247" w:rsidRPr="00D11FC4" w:rsidRDefault="00DC689F" w:rsidP="00E91247">
      <w:pPr>
        <w:spacing w:after="0" w:line="240" w:lineRule="auto"/>
        <w:contextualSpacing/>
        <w:rPr>
          <w:rFonts w:eastAsia="Times New Roman" w:cstheme="minorHAnsi"/>
          <w:color w:val="000000" w:themeColor="text1"/>
        </w:rPr>
      </w:pPr>
      <w:r w:rsidRPr="00D11FC4">
        <w:rPr>
          <w:rFonts w:eastAsia="Times New Roman" w:cstheme="minorHAnsi"/>
          <w:b/>
          <w:bCs/>
          <w:color w:val="000000" w:themeColor="text1"/>
        </w:rPr>
        <w:t>Section editor:</w:t>
      </w:r>
      <w:r w:rsidR="00E91247" w:rsidRPr="00D11FC4">
        <w:rPr>
          <w:rFonts w:eastAsia="Times New Roman" w:cstheme="minorHAnsi"/>
          <w:b/>
          <w:bCs/>
          <w:color w:val="000000" w:themeColor="text1"/>
        </w:rPr>
        <w:t xml:space="preserve"> </w:t>
      </w:r>
      <w:r w:rsidR="00E91247" w:rsidRPr="00D11FC4">
        <w:rPr>
          <w:rFonts w:eastAsia="Times New Roman" w:cstheme="minorHAnsi"/>
          <w:color w:val="000000" w:themeColor="text1"/>
        </w:rPr>
        <w:t xml:space="preserve">Addie McClintock, MD </w:t>
      </w:r>
    </w:p>
    <w:p w14:paraId="0CFBBF7F" w14:textId="48A966D4" w:rsidR="00DC689F" w:rsidRPr="00D11FC4" w:rsidRDefault="00DC689F" w:rsidP="00E91247">
      <w:pPr>
        <w:spacing w:after="0" w:line="240" w:lineRule="auto"/>
        <w:contextualSpacing/>
        <w:rPr>
          <w:rFonts w:eastAsia="Times New Roman" w:cstheme="minorHAnsi"/>
          <w:color w:val="000000" w:themeColor="text1"/>
        </w:rPr>
      </w:pPr>
      <w:r w:rsidRPr="00D11FC4">
        <w:rPr>
          <w:rFonts w:eastAsia="Times New Roman" w:cstheme="minorHAnsi"/>
          <w:b/>
          <w:bCs/>
          <w:color w:val="000000" w:themeColor="text1"/>
        </w:rPr>
        <w:t xml:space="preserve">Executive editor: </w:t>
      </w:r>
      <w:r w:rsidRPr="00D11FC4">
        <w:rPr>
          <w:rFonts w:eastAsia="Times New Roman" w:cstheme="minorHAnsi"/>
          <w:color w:val="000000" w:themeColor="text1"/>
        </w:rPr>
        <w:t>Yilin Zhang, MD</w:t>
      </w:r>
    </w:p>
    <w:p w14:paraId="3EA1DE3D" w14:textId="77777777" w:rsidR="00E91247" w:rsidRPr="00D11FC4" w:rsidRDefault="00E91247" w:rsidP="00E91247">
      <w:pPr>
        <w:spacing w:after="0" w:line="240" w:lineRule="auto"/>
        <w:contextualSpacing/>
        <w:outlineLvl w:val="1"/>
        <w:rPr>
          <w:rFonts w:eastAsia="Times New Roman" w:cstheme="minorHAnsi"/>
          <w:b/>
          <w:bCs/>
          <w:color w:val="000000"/>
        </w:rPr>
      </w:pPr>
    </w:p>
    <w:p w14:paraId="62D7A652" w14:textId="77777777" w:rsidR="00E91247" w:rsidRPr="00D11FC4" w:rsidRDefault="00E91247" w:rsidP="00E91247">
      <w:pPr>
        <w:spacing w:after="0" w:line="240" w:lineRule="auto"/>
        <w:contextualSpacing/>
        <w:outlineLvl w:val="1"/>
        <w:rPr>
          <w:rFonts w:eastAsia="Times New Roman" w:cstheme="minorHAnsi"/>
          <w:color w:val="FF0000"/>
        </w:rPr>
      </w:pPr>
      <w:r w:rsidRPr="00D11FC4">
        <w:rPr>
          <w:rFonts w:eastAsia="Times New Roman" w:cstheme="minorHAnsi"/>
          <w:b/>
          <w:bCs/>
          <w:color w:val="000000"/>
        </w:rPr>
        <w:t>Objectives</w:t>
      </w:r>
      <w:r w:rsidRPr="00D11FC4">
        <w:rPr>
          <w:rFonts w:eastAsia="Times New Roman" w:cstheme="minorHAnsi"/>
          <w:color w:val="000000"/>
        </w:rPr>
        <w:t xml:space="preserve"> </w:t>
      </w:r>
    </w:p>
    <w:p w14:paraId="061481AB" w14:textId="1C65EEBC" w:rsidR="0046711F" w:rsidRPr="00D11FC4" w:rsidRDefault="00F21716" w:rsidP="00E91247">
      <w:pPr>
        <w:pStyle w:val="ListParagraph"/>
        <w:numPr>
          <w:ilvl w:val="0"/>
          <w:numId w:val="3"/>
        </w:numPr>
        <w:outlineLvl w:val="1"/>
        <w:rPr>
          <w:rFonts w:eastAsia="Times New Roman" w:cstheme="minorHAnsi"/>
        </w:rPr>
      </w:pPr>
      <w:r w:rsidRPr="00D11FC4">
        <w:rPr>
          <w:rFonts w:eastAsia="Times New Roman" w:cstheme="minorHAnsi"/>
        </w:rPr>
        <w:t>Identify</w:t>
      </w:r>
      <w:r w:rsidR="001E6DA3" w:rsidRPr="00D11FC4">
        <w:rPr>
          <w:rFonts w:eastAsia="Times New Roman" w:cstheme="minorHAnsi"/>
        </w:rPr>
        <w:t xml:space="preserve"> symptoms and clinical signs concerning for PCOS</w:t>
      </w:r>
      <w:r w:rsidRPr="00D11FC4">
        <w:rPr>
          <w:rFonts w:eastAsia="Times New Roman" w:cstheme="minorHAnsi"/>
        </w:rPr>
        <w:t>.</w:t>
      </w:r>
      <w:r w:rsidR="00047255" w:rsidRPr="00D11FC4">
        <w:rPr>
          <w:rFonts w:eastAsia="Times New Roman" w:cstheme="minorHAnsi"/>
        </w:rPr>
        <w:t xml:space="preserve"> </w:t>
      </w:r>
    </w:p>
    <w:p w14:paraId="5BBF237C" w14:textId="0D8468CF" w:rsidR="0046711F" w:rsidRPr="00D11FC4" w:rsidRDefault="00047255" w:rsidP="00E91247">
      <w:pPr>
        <w:pStyle w:val="ListParagraph"/>
        <w:numPr>
          <w:ilvl w:val="0"/>
          <w:numId w:val="3"/>
        </w:numPr>
        <w:outlineLvl w:val="1"/>
        <w:rPr>
          <w:rFonts w:eastAsia="Times New Roman" w:cstheme="minorHAnsi"/>
        </w:rPr>
      </w:pPr>
      <w:r w:rsidRPr="00D11FC4">
        <w:rPr>
          <w:rFonts w:eastAsia="Times New Roman" w:cstheme="minorHAnsi"/>
        </w:rPr>
        <w:t>Develop a differential</w:t>
      </w:r>
      <w:r w:rsidR="005C72FE" w:rsidRPr="00D11FC4">
        <w:rPr>
          <w:rFonts w:eastAsia="Times New Roman" w:cstheme="minorHAnsi"/>
        </w:rPr>
        <w:t xml:space="preserve"> and initial evaluation</w:t>
      </w:r>
      <w:r w:rsidRPr="00D11FC4">
        <w:rPr>
          <w:rFonts w:eastAsia="Times New Roman" w:cstheme="minorHAnsi"/>
        </w:rPr>
        <w:t xml:space="preserve"> for patients presenting with symptoms concerning for PCOS. </w:t>
      </w:r>
    </w:p>
    <w:p w14:paraId="62D74723" w14:textId="14D599AB" w:rsidR="00E91247" w:rsidRPr="00D11FC4" w:rsidRDefault="00047255" w:rsidP="0046711F">
      <w:pPr>
        <w:pStyle w:val="ListParagraph"/>
        <w:numPr>
          <w:ilvl w:val="0"/>
          <w:numId w:val="3"/>
        </w:numPr>
        <w:spacing w:after="0" w:line="240" w:lineRule="auto"/>
        <w:outlineLvl w:val="1"/>
        <w:rPr>
          <w:rFonts w:eastAsia="Times New Roman" w:cstheme="minorHAnsi"/>
        </w:rPr>
      </w:pPr>
      <w:r w:rsidRPr="00D11FC4">
        <w:rPr>
          <w:rFonts w:eastAsia="Times New Roman" w:cstheme="minorHAnsi"/>
        </w:rPr>
        <w:t xml:space="preserve">Identify </w:t>
      </w:r>
      <w:r w:rsidR="00D56A67" w:rsidRPr="00D11FC4">
        <w:rPr>
          <w:rFonts w:eastAsia="Times New Roman" w:cstheme="minorHAnsi"/>
        </w:rPr>
        <w:t xml:space="preserve">gynecologic and non-gynecologic </w:t>
      </w:r>
      <w:r w:rsidRPr="00D11FC4">
        <w:rPr>
          <w:rFonts w:eastAsia="Times New Roman" w:cstheme="minorHAnsi"/>
        </w:rPr>
        <w:t>co-morbidities commonly associated with PCOS</w:t>
      </w:r>
      <w:r w:rsidR="007D22AA" w:rsidRPr="00D11FC4">
        <w:rPr>
          <w:rFonts w:eastAsia="Times New Roman" w:cstheme="minorHAnsi"/>
        </w:rPr>
        <w:t>.</w:t>
      </w:r>
    </w:p>
    <w:p w14:paraId="7B52D8DA" w14:textId="77777777" w:rsidR="007D22AA" w:rsidRPr="00D11FC4" w:rsidRDefault="007D22AA" w:rsidP="007D22AA">
      <w:pPr>
        <w:pStyle w:val="ListParagraph"/>
        <w:spacing w:after="0" w:line="240" w:lineRule="auto"/>
        <w:outlineLvl w:val="1"/>
        <w:rPr>
          <w:rFonts w:eastAsia="Times New Roman" w:cstheme="minorHAnsi"/>
        </w:rPr>
      </w:pPr>
    </w:p>
    <w:p w14:paraId="77D0E31A" w14:textId="7A1388F4" w:rsidR="00E91247" w:rsidRPr="00D11FC4" w:rsidRDefault="00E91247" w:rsidP="00E91247">
      <w:pPr>
        <w:spacing w:after="0" w:line="240" w:lineRule="auto"/>
        <w:contextualSpacing/>
        <w:rPr>
          <w:rFonts w:eastAsia="Times New Roman" w:cstheme="minorHAnsi"/>
          <w:b/>
          <w:bCs/>
        </w:rPr>
      </w:pPr>
      <w:r w:rsidRPr="00D11FC4">
        <w:rPr>
          <w:rFonts w:eastAsia="Times New Roman" w:cstheme="minorHAnsi"/>
          <w:b/>
          <w:bCs/>
        </w:rPr>
        <w:t xml:space="preserve">Teaching Instructions </w:t>
      </w:r>
    </w:p>
    <w:p w14:paraId="23A55109" w14:textId="2BB57DC1" w:rsidR="00E91247" w:rsidRPr="00D11FC4" w:rsidRDefault="00E91247" w:rsidP="00D11745">
      <w:pPr>
        <w:spacing w:after="0" w:line="240" w:lineRule="auto"/>
        <w:contextualSpacing/>
        <w:rPr>
          <w:rFonts w:eastAsia="Times New Roman" w:cstheme="minorHAnsi"/>
          <w:color w:val="FF0000"/>
        </w:rPr>
      </w:pPr>
      <w:r w:rsidRPr="00D11FC4">
        <w:rPr>
          <w:rFonts w:eastAsia="Times New Roman" w:cstheme="minorHAnsi"/>
        </w:rPr>
        <w:t xml:space="preserve">Plan to spend at </w:t>
      </w:r>
      <w:r w:rsidRPr="00D11FC4">
        <w:rPr>
          <w:rFonts w:eastAsia="Times New Roman" w:cstheme="minorHAnsi"/>
          <w:color w:val="000000" w:themeColor="text1"/>
        </w:rPr>
        <w:t xml:space="preserve">least </w:t>
      </w:r>
      <w:r w:rsidR="00D11745" w:rsidRPr="00D11FC4">
        <w:rPr>
          <w:rFonts w:eastAsia="Times New Roman" w:cstheme="minorHAnsi"/>
          <w:color w:val="000000" w:themeColor="text1"/>
        </w:rPr>
        <w:t xml:space="preserve">30-60 </w:t>
      </w:r>
      <w:r w:rsidRPr="00D11FC4">
        <w:rPr>
          <w:rFonts w:eastAsia="Times New Roman" w:cstheme="minorHAnsi"/>
          <w:color w:val="000000" w:themeColor="text1"/>
        </w:rPr>
        <w:t xml:space="preserve">minutes preparing for this talk. </w:t>
      </w:r>
      <w:r w:rsidR="00D11745" w:rsidRPr="00D11FC4">
        <w:rPr>
          <w:rFonts w:eastAsia="Times New Roman" w:cstheme="minorHAnsi"/>
          <w:color w:val="000000" w:themeColor="text1"/>
        </w:rPr>
        <w:t>R</w:t>
      </w:r>
      <w:r w:rsidRPr="00D11FC4">
        <w:rPr>
          <w:rFonts w:eastAsia="Times New Roman" w:cstheme="minorHAnsi"/>
          <w:color w:val="000000" w:themeColor="text1"/>
        </w:rPr>
        <w:t xml:space="preserve">ead through the </w:t>
      </w:r>
      <w:r w:rsidR="00D11745" w:rsidRPr="00D11FC4">
        <w:rPr>
          <w:rFonts w:eastAsia="Times New Roman" w:cstheme="minorHAnsi"/>
          <w:color w:val="000000" w:themeColor="text1"/>
        </w:rPr>
        <w:t xml:space="preserve">Facilitator Guide/Teaching instructions and familiarize yourself with the Interactive Board. All clickable elements are denoted with a shaded, rounded </w:t>
      </w:r>
      <w:r w:rsidR="008F66AA" w:rsidRPr="00D11FC4">
        <w:rPr>
          <w:rFonts w:eastAsia="Times New Roman" w:cstheme="minorHAnsi"/>
          <w:color w:val="000000" w:themeColor="text1"/>
        </w:rPr>
        <w:t xml:space="preserve">rectangle </w:t>
      </w:r>
      <w:r w:rsidR="00D11745" w:rsidRPr="00D11FC4">
        <w:rPr>
          <w:rFonts w:eastAsia="Times New Roman" w:cstheme="minorHAnsi"/>
          <w:color w:val="000000" w:themeColor="text1"/>
        </w:rPr>
        <w:t xml:space="preserve">and/or mouse cursor icon. </w:t>
      </w:r>
    </w:p>
    <w:p w14:paraId="18229206" w14:textId="77777777" w:rsidR="00E91247" w:rsidRPr="00D11FC4" w:rsidRDefault="00E91247" w:rsidP="00E91247">
      <w:pPr>
        <w:spacing w:after="0" w:line="240" w:lineRule="auto"/>
        <w:ind w:left="720"/>
        <w:contextualSpacing/>
        <w:rPr>
          <w:rFonts w:eastAsia="Times New Roman" w:cstheme="minorHAnsi"/>
        </w:rPr>
      </w:pPr>
    </w:p>
    <w:p w14:paraId="0148BC29" w14:textId="77777777" w:rsidR="00E91247" w:rsidRPr="00D11FC4" w:rsidRDefault="00E91247" w:rsidP="00D11745">
      <w:pPr>
        <w:spacing w:after="0" w:line="240" w:lineRule="auto"/>
        <w:contextualSpacing/>
        <w:rPr>
          <w:rFonts w:eastAsia="Times New Roman" w:cstheme="minorHAnsi"/>
        </w:rPr>
      </w:pPr>
      <w:r w:rsidRPr="00D11FC4">
        <w:rPr>
          <w:rFonts w:eastAsia="Times New Roman" w:cstheme="minorHAnsi"/>
        </w:rPr>
        <w:t>This talk can be presented in two ways:</w:t>
      </w:r>
    </w:p>
    <w:p w14:paraId="5E672B69" w14:textId="33B2353E" w:rsidR="00E91247" w:rsidRPr="00D11FC4" w:rsidRDefault="00E91247" w:rsidP="00D11745">
      <w:pPr>
        <w:spacing w:after="0" w:line="240" w:lineRule="auto"/>
        <w:contextualSpacing/>
        <w:rPr>
          <w:rFonts w:eastAsia="Times New Roman" w:cstheme="minorHAnsi"/>
        </w:rPr>
      </w:pPr>
      <w:r w:rsidRPr="00D11FC4">
        <w:rPr>
          <w:rFonts w:eastAsia="Times New Roman" w:cstheme="minorHAnsi"/>
        </w:rPr>
        <w:t>1. Project the “Interactive Board for Presentation”</w:t>
      </w:r>
      <w:r w:rsidR="007A7629" w:rsidRPr="00D11FC4">
        <w:rPr>
          <w:rFonts w:eastAsia="Times New Roman" w:cstheme="minorHAnsi"/>
        </w:rPr>
        <w:t xml:space="preserve"> OR</w:t>
      </w:r>
      <w:r w:rsidRPr="00D11FC4">
        <w:rPr>
          <w:rFonts w:eastAsia="Times New Roman" w:cstheme="minorHAnsi"/>
        </w:rPr>
        <w:br/>
        <w:t>2. Reproduce a drawing of the presentation on a whiteboard</w:t>
      </w:r>
      <w:r w:rsidR="009A4A86" w:rsidRPr="00D11FC4">
        <w:rPr>
          <w:rFonts w:eastAsia="Times New Roman" w:cstheme="minorHAnsi"/>
        </w:rPr>
        <w:t xml:space="preserve"> (use learner guide for whiteboard organization)</w:t>
      </w:r>
    </w:p>
    <w:p w14:paraId="36F95607" w14:textId="77777777" w:rsidR="00E91247" w:rsidRPr="00D11FC4" w:rsidRDefault="00E91247" w:rsidP="00E91247">
      <w:pPr>
        <w:spacing w:after="0" w:line="240" w:lineRule="auto"/>
        <w:ind w:left="720"/>
        <w:contextualSpacing/>
        <w:rPr>
          <w:rFonts w:eastAsia="Times New Roman" w:cstheme="minorHAnsi"/>
        </w:rPr>
      </w:pPr>
    </w:p>
    <w:p w14:paraId="16662BA7" w14:textId="56B14A3D" w:rsidR="00E91247" w:rsidRPr="00D11FC4" w:rsidRDefault="00E91247" w:rsidP="00D11745">
      <w:pPr>
        <w:shd w:val="clear" w:color="auto" w:fill="FEFEFE"/>
        <w:spacing w:after="0" w:line="240" w:lineRule="auto"/>
        <w:rPr>
          <w:rFonts w:eastAsia="Times New Roman" w:cstheme="minorHAnsi"/>
          <w:spacing w:val="4"/>
        </w:rPr>
      </w:pPr>
      <w:r w:rsidRPr="00D11FC4">
        <w:rPr>
          <w:rFonts w:eastAsia="Times New Roman" w:cstheme="minorHAnsi"/>
          <w:spacing w:val="4"/>
        </w:rPr>
        <w:t>With either method, print out copies of the Learner’s Handout so they may follow along during the presentation and take notes as you expand on the decision tree and apply it through the practice cases. Begin with reviewing the objectives for the session.</w:t>
      </w:r>
    </w:p>
    <w:p w14:paraId="6A79E145" w14:textId="60C40F79" w:rsidR="007A7629" w:rsidRPr="00D11FC4" w:rsidRDefault="007A7629" w:rsidP="00D11745">
      <w:pPr>
        <w:shd w:val="clear" w:color="auto" w:fill="FEFEFE"/>
        <w:spacing w:after="0" w:line="240" w:lineRule="auto"/>
        <w:rPr>
          <w:rFonts w:eastAsia="Times New Roman" w:cstheme="minorHAnsi"/>
          <w:spacing w:val="4"/>
        </w:rPr>
      </w:pPr>
    </w:p>
    <w:p w14:paraId="5C927504" w14:textId="1C073153" w:rsidR="007A7629" w:rsidRPr="00D11FC4" w:rsidRDefault="007A7629" w:rsidP="00D11745">
      <w:pPr>
        <w:shd w:val="clear" w:color="auto" w:fill="FEFEFE"/>
        <w:spacing w:after="0" w:line="240" w:lineRule="auto"/>
        <w:rPr>
          <w:rFonts w:eastAsia="Times New Roman" w:cstheme="minorHAnsi"/>
          <w:spacing w:val="4"/>
        </w:rPr>
      </w:pPr>
      <w:r w:rsidRPr="00D11FC4">
        <w:rPr>
          <w:rFonts w:eastAsia="Times New Roman" w:cstheme="minorHAnsi"/>
          <w:spacing w:val="4"/>
        </w:rPr>
        <w:t xml:space="preserve">The anticipated time to give this talk is 20 min without cases and 30 min with cases. </w:t>
      </w:r>
    </w:p>
    <w:p w14:paraId="68A568BA" w14:textId="77777777" w:rsidR="00E91247" w:rsidRPr="00D11FC4" w:rsidRDefault="00E91247" w:rsidP="00E91247">
      <w:pPr>
        <w:shd w:val="clear" w:color="auto" w:fill="FEFEFE"/>
        <w:spacing w:after="0" w:line="240" w:lineRule="auto"/>
        <w:ind w:left="720"/>
        <w:rPr>
          <w:rFonts w:eastAsia="Times New Roman" w:cstheme="minorHAnsi"/>
          <w:b/>
          <w:bCs/>
          <w:spacing w:val="4"/>
        </w:rPr>
      </w:pPr>
    </w:p>
    <w:p w14:paraId="2CAF9737" w14:textId="6EA5A2D9" w:rsidR="00E91247" w:rsidRPr="00D11FC4" w:rsidRDefault="00E91247" w:rsidP="00D11745">
      <w:pPr>
        <w:outlineLvl w:val="1"/>
        <w:rPr>
          <w:rFonts w:eastAsia="Times New Roman" w:cstheme="minorHAnsi"/>
          <w:b/>
          <w:bCs/>
          <w:i/>
          <w:iCs/>
        </w:rPr>
      </w:pPr>
      <w:r w:rsidRPr="00D11FC4">
        <w:rPr>
          <w:rFonts w:eastAsia="Times New Roman" w:cstheme="minorHAnsi"/>
          <w:b/>
          <w:bCs/>
          <w:spacing w:val="4"/>
          <w:u w:val="single"/>
        </w:rPr>
        <w:t>Objective 1</w:t>
      </w:r>
      <w:r w:rsidRPr="00D11FC4">
        <w:rPr>
          <w:rFonts w:eastAsia="Times New Roman" w:cstheme="minorHAnsi"/>
          <w:b/>
          <w:bCs/>
          <w:spacing w:val="4"/>
        </w:rPr>
        <w:t>: </w:t>
      </w:r>
      <w:r w:rsidR="00F21716" w:rsidRPr="00D11FC4">
        <w:rPr>
          <w:rFonts w:eastAsia="Times New Roman" w:cstheme="minorHAnsi"/>
          <w:b/>
          <w:bCs/>
        </w:rPr>
        <w:t>Identify</w:t>
      </w:r>
      <w:r w:rsidR="001E6DA3" w:rsidRPr="00D11FC4">
        <w:rPr>
          <w:rFonts w:eastAsia="Times New Roman" w:cstheme="minorHAnsi"/>
          <w:b/>
          <w:bCs/>
        </w:rPr>
        <w:t xml:space="preserve"> symptoms and clinical signs concerning for PCOS.</w:t>
      </w:r>
      <w:r w:rsidR="005C72FE" w:rsidRPr="00D11FC4">
        <w:rPr>
          <w:rFonts w:eastAsia="Times New Roman" w:cstheme="minorHAnsi"/>
          <w:b/>
          <w:bCs/>
        </w:rPr>
        <w:t xml:space="preserve"> </w:t>
      </w:r>
      <w:r w:rsidR="005C72FE" w:rsidRPr="00D11FC4">
        <w:rPr>
          <w:rFonts w:eastAsia="Times New Roman" w:cstheme="minorHAnsi"/>
          <w:b/>
          <w:bCs/>
          <w:i/>
          <w:iCs/>
        </w:rPr>
        <w:t>(Diagnosis)</w:t>
      </w:r>
    </w:p>
    <w:p w14:paraId="4FD7C5EA" w14:textId="77777777" w:rsidR="00D11FC4" w:rsidRPr="00D11FC4" w:rsidRDefault="00D11FC4" w:rsidP="00D11FC4">
      <w:pPr>
        <w:shd w:val="clear" w:color="auto" w:fill="FEFEFE"/>
        <w:spacing w:after="100" w:afterAutospacing="1" w:line="240" w:lineRule="auto"/>
        <w:rPr>
          <w:rFonts w:eastAsia="Times New Roman" w:cstheme="minorHAnsi"/>
          <w:color w:val="000000" w:themeColor="text1"/>
          <w:spacing w:val="4"/>
        </w:rPr>
      </w:pPr>
      <w:r w:rsidRPr="00D11FC4">
        <w:rPr>
          <w:rFonts w:eastAsia="Times New Roman" w:cstheme="minorHAnsi"/>
          <w:color w:val="000000" w:themeColor="text1"/>
          <w:spacing w:val="4"/>
        </w:rPr>
        <w:t>Polycystic ovary syndrome (PCOS) is an endocrine disorder affecting 8-13% of women (people with ovaries) of reproductive age.</w:t>
      </w:r>
      <w:r w:rsidRPr="00D11FC4">
        <w:rPr>
          <w:rFonts w:eastAsia="Times New Roman" w:cstheme="minorHAnsi"/>
          <w:color w:val="000000" w:themeColor="text1"/>
          <w:spacing w:val="4"/>
          <w:vertAlign w:val="superscript"/>
        </w:rPr>
        <w:t>1</w:t>
      </w:r>
      <w:r w:rsidRPr="00D11FC4">
        <w:rPr>
          <w:rFonts w:eastAsia="Times New Roman" w:cstheme="minorHAnsi"/>
          <w:color w:val="000000" w:themeColor="text1"/>
          <w:spacing w:val="4"/>
        </w:rPr>
        <w:t> Its primary clinical features are hyperandrogenism and menstrual dysfunction, though it can be associated with several metabolic, cardiovascular, and psychiatric conditions. However, many other conditions present with similar clinical signs and symptoms, making </w:t>
      </w:r>
      <w:r w:rsidRPr="00D11FC4">
        <w:rPr>
          <w:rFonts w:eastAsia="Times New Roman" w:cstheme="minorHAnsi"/>
          <w:color w:val="000000" w:themeColor="text1"/>
          <w:spacing w:val="4"/>
          <w:u w:val="single"/>
        </w:rPr>
        <w:t>PCOS a diagnosis of exclusion.</w:t>
      </w:r>
    </w:p>
    <w:p w14:paraId="23D079FA" w14:textId="77777777" w:rsidR="00D11FC4" w:rsidRPr="00D11FC4" w:rsidRDefault="00D11FC4" w:rsidP="00D11FC4">
      <w:pPr>
        <w:shd w:val="clear" w:color="auto" w:fill="FEFEFE"/>
        <w:spacing w:after="100" w:afterAutospacing="1" w:line="240" w:lineRule="auto"/>
        <w:rPr>
          <w:rFonts w:eastAsia="Times New Roman" w:cstheme="minorHAnsi"/>
          <w:color w:val="000000" w:themeColor="text1"/>
          <w:spacing w:val="4"/>
        </w:rPr>
      </w:pPr>
      <w:r w:rsidRPr="00D11FC4">
        <w:rPr>
          <w:rFonts w:eastAsia="Times New Roman" w:cstheme="minorHAnsi"/>
          <w:color w:val="000000" w:themeColor="text1"/>
          <w:spacing w:val="4"/>
        </w:rPr>
        <w:t>Although there are multiple scoring systems, the most used diagnostic criterion currently is the Rotterdam criteria. A patient must meet 2 of the 3 criteria to be diagnosed with PCOS. Exclusion of other clinical diagnoses that can present with similar features/phenotype is required to confirm the diagnosis.</w:t>
      </w:r>
    </w:p>
    <w:p w14:paraId="0FE428BE" w14:textId="77777777" w:rsidR="00D11FC4" w:rsidRPr="00D11FC4" w:rsidRDefault="00D11FC4" w:rsidP="00D11FC4">
      <w:pPr>
        <w:shd w:val="clear" w:color="auto" w:fill="FEFEFE"/>
        <w:spacing w:after="100" w:afterAutospacing="1" w:line="240" w:lineRule="auto"/>
        <w:rPr>
          <w:rFonts w:eastAsia="Times New Roman" w:cstheme="minorHAnsi"/>
          <w:color w:val="000000" w:themeColor="text1"/>
          <w:spacing w:val="4"/>
        </w:rPr>
      </w:pPr>
      <w:r w:rsidRPr="00D11FC4">
        <w:rPr>
          <w:rFonts w:eastAsia="Times New Roman" w:cstheme="minorHAnsi"/>
          <w:i/>
          <w:iCs/>
          <w:color w:val="000000" w:themeColor="text1"/>
          <w:spacing w:val="4"/>
        </w:rPr>
        <w:t>Ask your learners to list 3 Rotterdam criteria. Click on "Rotterdam criteria" to reveal the different criteria. Then click on each of the criteria to reveal more information. </w:t>
      </w:r>
    </w:p>
    <w:p w14:paraId="3EFBA7FD" w14:textId="19CFDB64" w:rsidR="00D11FC4" w:rsidRPr="00D11FC4" w:rsidRDefault="00D11FC4" w:rsidP="00D11FC4">
      <w:pPr>
        <w:numPr>
          <w:ilvl w:val="0"/>
          <w:numId w:val="21"/>
        </w:numPr>
        <w:spacing w:after="0" w:line="240" w:lineRule="auto"/>
        <w:textAlignment w:val="baseline"/>
        <w:rPr>
          <w:rFonts w:eastAsia="Times New Roman" w:cstheme="minorHAnsi"/>
          <w:color w:val="000000" w:themeColor="text1"/>
          <w:spacing w:val="4"/>
        </w:rPr>
      </w:pPr>
      <w:r w:rsidRPr="00D11FC4">
        <w:rPr>
          <w:rFonts w:eastAsia="Times New Roman" w:cstheme="minorHAnsi"/>
          <w:color w:val="000000" w:themeColor="text1"/>
          <w:spacing w:val="4"/>
          <w:u w:val="single"/>
        </w:rPr>
        <w:t>Hyperandrogenism</w:t>
      </w:r>
      <w:r w:rsidRPr="00D11FC4">
        <w:rPr>
          <w:rFonts w:eastAsia="Times New Roman" w:cstheme="minorHAnsi"/>
          <w:color w:val="000000" w:themeColor="text1"/>
          <w:spacing w:val="4"/>
        </w:rPr>
        <w:t xml:space="preserve"> – via lab testing or clinical signs. </w:t>
      </w:r>
    </w:p>
    <w:p w14:paraId="576859C5" w14:textId="77777777" w:rsidR="00D11FC4" w:rsidRPr="00D11FC4" w:rsidRDefault="00D11FC4" w:rsidP="00D11FC4">
      <w:pPr>
        <w:numPr>
          <w:ilvl w:val="1"/>
          <w:numId w:val="21"/>
        </w:numPr>
        <w:spacing w:after="0" w:line="240" w:lineRule="auto"/>
        <w:textAlignment w:val="baseline"/>
        <w:rPr>
          <w:rFonts w:eastAsia="Times New Roman" w:cstheme="minorHAnsi"/>
          <w:color w:val="000000" w:themeColor="text1"/>
          <w:spacing w:val="4"/>
        </w:rPr>
      </w:pPr>
      <w:r w:rsidRPr="00D11FC4">
        <w:rPr>
          <w:rFonts w:eastAsia="Times New Roman" w:cstheme="minorHAnsi"/>
          <w:color w:val="000000" w:themeColor="text1"/>
          <w:spacing w:val="4"/>
        </w:rPr>
        <w:t>Clinical signs of hyperandrogenism include acne, male-patterned hair loss (androgenic alopecia), and hirsutism. Hirsutism is defined as excessive growth of pigmented, coarse hair in a pattern consistent with androgen sensitivity - around the upper lip, chest, chin, buttocks, linea alba, inner aspect of thighs, or lower back. Semi-quantitative measures of hirsutism such as the Ferriman-Gallwey score can be used to clinically follow patients with hirsutism. Acne and alopecia in isolation are unreliable signs of hyperandrogenism.</w:t>
      </w:r>
      <w:r w:rsidRPr="00D11FC4">
        <w:rPr>
          <w:rFonts w:eastAsia="Times New Roman" w:cstheme="minorHAnsi"/>
          <w:color w:val="000000" w:themeColor="text1"/>
          <w:spacing w:val="4"/>
          <w:vertAlign w:val="superscript"/>
        </w:rPr>
        <w:t>1,2</w:t>
      </w:r>
    </w:p>
    <w:p w14:paraId="5948B1A2" w14:textId="77777777" w:rsidR="00D11FC4" w:rsidRPr="00D11FC4" w:rsidRDefault="00D11FC4" w:rsidP="00D11FC4">
      <w:pPr>
        <w:numPr>
          <w:ilvl w:val="1"/>
          <w:numId w:val="21"/>
        </w:numPr>
        <w:spacing w:after="0" w:line="240" w:lineRule="auto"/>
        <w:textAlignment w:val="baseline"/>
        <w:rPr>
          <w:rFonts w:eastAsia="Times New Roman" w:cstheme="minorHAnsi"/>
          <w:color w:val="000000" w:themeColor="text1"/>
          <w:spacing w:val="4"/>
        </w:rPr>
      </w:pPr>
      <w:r w:rsidRPr="00D11FC4">
        <w:rPr>
          <w:rFonts w:eastAsia="Times New Roman" w:cstheme="minorHAnsi"/>
          <w:color w:val="000000" w:themeColor="text1"/>
          <w:spacing w:val="4"/>
        </w:rPr>
        <w:t>While most patients with clinical features of hyperandrogenism will also have elevated levels of androgens on lab testing, serum analysis fails to detect biochemical hyperandrogenism in 20-40% of patients.</w:t>
      </w:r>
      <w:r w:rsidRPr="00D11FC4">
        <w:rPr>
          <w:rFonts w:eastAsia="Times New Roman" w:cstheme="minorHAnsi"/>
          <w:color w:val="000000" w:themeColor="text1"/>
          <w:spacing w:val="4"/>
          <w:vertAlign w:val="superscript"/>
        </w:rPr>
        <w:t>3</w:t>
      </w:r>
    </w:p>
    <w:p w14:paraId="54D3703D" w14:textId="77777777" w:rsidR="00D11FC4" w:rsidRPr="00D11FC4" w:rsidRDefault="00D11FC4" w:rsidP="00D11FC4">
      <w:pPr>
        <w:numPr>
          <w:ilvl w:val="1"/>
          <w:numId w:val="21"/>
        </w:numPr>
        <w:spacing w:after="0" w:line="240" w:lineRule="auto"/>
        <w:textAlignment w:val="baseline"/>
        <w:rPr>
          <w:rFonts w:eastAsia="Times New Roman" w:cstheme="minorHAnsi"/>
          <w:color w:val="000000" w:themeColor="text1"/>
          <w:spacing w:val="4"/>
          <w:vertAlign w:val="superscript"/>
        </w:rPr>
      </w:pPr>
      <w:r w:rsidRPr="00D11FC4">
        <w:rPr>
          <w:rFonts w:eastAsia="Times New Roman" w:cstheme="minorHAnsi"/>
          <w:color w:val="000000" w:themeColor="text1"/>
          <w:spacing w:val="4"/>
        </w:rPr>
        <w:lastRenderedPageBreak/>
        <w:t>Signs of severe androgen excess, like voice deepening or clitoromegaly, are far less common in PCOS and should increase suspicion for alternate etiology of symptoms, like an androgen secreting tumor.</w:t>
      </w:r>
      <w:r w:rsidRPr="00D11FC4">
        <w:rPr>
          <w:rFonts w:eastAsia="Times New Roman" w:cstheme="minorHAnsi"/>
          <w:color w:val="000000" w:themeColor="text1"/>
          <w:spacing w:val="4"/>
          <w:vertAlign w:val="superscript"/>
        </w:rPr>
        <w:t>2-4</w:t>
      </w:r>
    </w:p>
    <w:p w14:paraId="4E85AC93" w14:textId="77777777" w:rsidR="00D11FC4" w:rsidRPr="00D11FC4" w:rsidRDefault="00D11FC4" w:rsidP="00D11FC4">
      <w:pPr>
        <w:numPr>
          <w:ilvl w:val="0"/>
          <w:numId w:val="21"/>
        </w:numPr>
        <w:spacing w:after="0" w:line="240" w:lineRule="auto"/>
        <w:textAlignment w:val="baseline"/>
        <w:rPr>
          <w:rFonts w:eastAsia="Times New Roman" w:cstheme="minorHAnsi"/>
          <w:color w:val="000000" w:themeColor="text1"/>
          <w:spacing w:val="4"/>
        </w:rPr>
      </w:pPr>
      <w:r w:rsidRPr="00D11FC4">
        <w:rPr>
          <w:rFonts w:eastAsia="Times New Roman" w:cstheme="minorHAnsi"/>
          <w:color w:val="000000" w:themeColor="text1"/>
          <w:spacing w:val="4"/>
          <w:u w:val="single"/>
        </w:rPr>
        <w:t>Menstrual irregularities</w:t>
      </w:r>
      <w:r w:rsidRPr="00D11FC4">
        <w:rPr>
          <w:rFonts w:eastAsia="Times New Roman" w:cstheme="minorHAnsi"/>
          <w:color w:val="000000" w:themeColor="text1"/>
          <w:spacing w:val="4"/>
        </w:rPr>
        <w:t> – chronic anovulation</w:t>
      </w:r>
    </w:p>
    <w:p w14:paraId="793A6A20" w14:textId="77777777" w:rsidR="00D11FC4" w:rsidRPr="00D11FC4" w:rsidRDefault="00D11FC4" w:rsidP="00D11FC4">
      <w:pPr>
        <w:numPr>
          <w:ilvl w:val="1"/>
          <w:numId w:val="21"/>
        </w:numPr>
        <w:spacing w:after="0" w:line="240" w:lineRule="auto"/>
        <w:textAlignment w:val="baseline"/>
        <w:rPr>
          <w:rFonts w:eastAsia="Times New Roman" w:cstheme="minorHAnsi"/>
          <w:color w:val="000000" w:themeColor="text1"/>
          <w:spacing w:val="4"/>
        </w:rPr>
      </w:pPr>
      <w:r w:rsidRPr="00D11FC4">
        <w:rPr>
          <w:rFonts w:eastAsia="Times New Roman" w:cstheme="minorHAnsi"/>
          <w:color w:val="000000" w:themeColor="text1"/>
          <w:spacing w:val="4"/>
        </w:rPr>
        <w:t>A normal menstrual cycle is 21 to 35 days long. Often, women with PCOS have cycles which are unpredictable and longer than a standard menstrual cycle. Oligomenorrhea is defined by the presence of &lt;8 menstrual cycles per year or cycle length &gt; 35 days. Amenorrhea is defined by lack of menstruation for 3 months.</w:t>
      </w:r>
      <w:r w:rsidRPr="00D11FC4">
        <w:rPr>
          <w:rFonts w:eastAsia="Times New Roman" w:cstheme="minorHAnsi"/>
          <w:color w:val="000000" w:themeColor="text1"/>
          <w:spacing w:val="4"/>
          <w:vertAlign w:val="superscript"/>
        </w:rPr>
        <w:t>1,3,4</w:t>
      </w:r>
    </w:p>
    <w:p w14:paraId="51064EF3" w14:textId="77777777" w:rsidR="00D11FC4" w:rsidRPr="00D11FC4" w:rsidRDefault="00D11FC4" w:rsidP="00D11FC4">
      <w:pPr>
        <w:numPr>
          <w:ilvl w:val="1"/>
          <w:numId w:val="21"/>
        </w:numPr>
        <w:spacing w:after="0" w:line="240" w:lineRule="auto"/>
        <w:textAlignment w:val="baseline"/>
        <w:rPr>
          <w:rFonts w:eastAsia="Times New Roman" w:cstheme="minorHAnsi"/>
          <w:color w:val="000000" w:themeColor="text1"/>
          <w:spacing w:val="4"/>
        </w:rPr>
      </w:pPr>
      <w:r w:rsidRPr="00D11FC4">
        <w:rPr>
          <w:rFonts w:eastAsia="Times New Roman" w:cstheme="minorHAnsi"/>
          <w:color w:val="000000" w:themeColor="text1"/>
          <w:spacing w:val="4"/>
        </w:rPr>
        <w:t>Menstrual irregularities usually begin prepubertally. For 2-3 years following menarche, irregular cycles can be normal. After this time, irregular periods warrant further evaluation.</w:t>
      </w:r>
      <w:r w:rsidRPr="00D11FC4">
        <w:rPr>
          <w:rFonts w:eastAsia="Times New Roman" w:cstheme="minorHAnsi"/>
          <w:color w:val="000000" w:themeColor="text1"/>
          <w:spacing w:val="4"/>
          <w:vertAlign w:val="superscript"/>
        </w:rPr>
        <w:t>1,2,4</w:t>
      </w:r>
    </w:p>
    <w:p w14:paraId="7A0FADE5" w14:textId="77777777" w:rsidR="00D11FC4" w:rsidRPr="00D11FC4" w:rsidRDefault="00D11FC4" w:rsidP="00D11FC4">
      <w:pPr>
        <w:numPr>
          <w:ilvl w:val="1"/>
          <w:numId w:val="21"/>
        </w:numPr>
        <w:spacing w:after="0" w:line="240" w:lineRule="auto"/>
        <w:textAlignment w:val="baseline"/>
        <w:rPr>
          <w:rFonts w:eastAsia="Times New Roman" w:cstheme="minorHAnsi"/>
          <w:color w:val="000000" w:themeColor="text1"/>
          <w:spacing w:val="4"/>
        </w:rPr>
      </w:pPr>
      <w:r w:rsidRPr="00D11FC4">
        <w:rPr>
          <w:rFonts w:eastAsia="Times New Roman" w:cstheme="minorHAnsi"/>
          <w:color w:val="000000" w:themeColor="text1"/>
          <w:spacing w:val="4"/>
        </w:rPr>
        <w:t>Dysfunctional uterine bleeding can occur because of unopposed estrogen effect, so the presence of regular cycles does not necessarily exclude chronic anovulation.</w:t>
      </w:r>
      <w:r w:rsidRPr="00D11FC4">
        <w:rPr>
          <w:rFonts w:eastAsia="Times New Roman" w:cstheme="minorHAnsi"/>
          <w:color w:val="000000" w:themeColor="text1"/>
          <w:spacing w:val="4"/>
          <w:vertAlign w:val="superscript"/>
        </w:rPr>
        <w:t>3</w:t>
      </w:r>
    </w:p>
    <w:p w14:paraId="468F206E" w14:textId="6A0F5884" w:rsidR="00D11FC4" w:rsidRPr="00D11FC4" w:rsidRDefault="00D11FC4" w:rsidP="00D11FC4">
      <w:pPr>
        <w:numPr>
          <w:ilvl w:val="0"/>
          <w:numId w:val="21"/>
        </w:numPr>
        <w:spacing w:after="0" w:line="240" w:lineRule="auto"/>
        <w:textAlignment w:val="baseline"/>
        <w:rPr>
          <w:rFonts w:eastAsia="Times New Roman" w:cstheme="minorHAnsi"/>
          <w:color w:val="000000" w:themeColor="text1"/>
          <w:spacing w:val="4"/>
        </w:rPr>
      </w:pPr>
      <w:r w:rsidRPr="00D11FC4">
        <w:rPr>
          <w:rFonts w:eastAsia="Times New Roman" w:cstheme="minorHAnsi"/>
          <w:color w:val="000000" w:themeColor="text1"/>
          <w:spacing w:val="4"/>
          <w:u w:val="single"/>
        </w:rPr>
        <w:t>Polycystic ovaries</w:t>
      </w:r>
      <w:r w:rsidRPr="00D11FC4">
        <w:rPr>
          <w:rFonts w:eastAsia="Times New Roman" w:cstheme="minorHAnsi"/>
          <w:color w:val="000000" w:themeColor="text1"/>
          <w:spacing w:val="4"/>
        </w:rPr>
        <w:t xml:space="preserve"> – seen on pelvic ultrasound. </w:t>
      </w:r>
    </w:p>
    <w:p w14:paraId="7BDBE7B6" w14:textId="77777777" w:rsidR="00D11FC4" w:rsidRPr="00D11FC4" w:rsidRDefault="00D11FC4" w:rsidP="00D11FC4">
      <w:pPr>
        <w:numPr>
          <w:ilvl w:val="1"/>
          <w:numId w:val="21"/>
        </w:numPr>
        <w:spacing w:after="0" w:line="240" w:lineRule="auto"/>
        <w:textAlignment w:val="baseline"/>
        <w:rPr>
          <w:rFonts w:eastAsia="Times New Roman" w:cstheme="minorHAnsi"/>
          <w:color w:val="000000" w:themeColor="text1"/>
          <w:spacing w:val="4"/>
        </w:rPr>
      </w:pPr>
      <w:r w:rsidRPr="00D11FC4">
        <w:rPr>
          <w:rFonts w:eastAsia="Times New Roman" w:cstheme="minorHAnsi"/>
          <w:color w:val="000000" w:themeColor="text1"/>
          <w:spacing w:val="4"/>
        </w:rPr>
        <w:t>There are two different ways to define polycystic ovaries – volume and number of cysts. Polycystic ovaries are ovaries that have more than 12 follicles and/or have a volume &gt; 10 ccs.</w:t>
      </w:r>
      <w:r w:rsidRPr="00D11FC4">
        <w:rPr>
          <w:rFonts w:eastAsia="Times New Roman" w:cstheme="minorHAnsi"/>
          <w:color w:val="000000" w:themeColor="text1"/>
          <w:spacing w:val="4"/>
          <w:vertAlign w:val="superscript"/>
        </w:rPr>
        <w:t>1-4</w:t>
      </w:r>
    </w:p>
    <w:p w14:paraId="3E552375" w14:textId="0807EBDD" w:rsidR="00D11FC4" w:rsidRPr="00D11FC4" w:rsidRDefault="00D11FC4" w:rsidP="00D11FC4">
      <w:pPr>
        <w:numPr>
          <w:ilvl w:val="1"/>
          <w:numId w:val="21"/>
        </w:numPr>
        <w:spacing w:after="0" w:line="240" w:lineRule="auto"/>
        <w:textAlignment w:val="baseline"/>
        <w:rPr>
          <w:rFonts w:eastAsia="Times New Roman" w:cstheme="minorHAnsi"/>
          <w:color w:val="000000" w:themeColor="text1"/>
          <w:spacing w:val="4"/>
        </w:rPr>
      </w:pPr>
      <w:r w:rsidRPr="00D11FC4">
        <w:rPr>
          <w:rFonts w:eastAsia="Times New Roman" w:cstheme="minorHAnsi"/>
          <w:color w:val="000000" w:themeColor="text1"/>
          <w:spacing w:val="4"/>
        </w:rPr>
        <w:t>It is important to remember that multiple follicles can be seen in the ovaries of normally cycling patients (especially in adolescence and early adulthood), so this finding in isolation is non-specific.</w:t>
      </w:r>
      <w:r w:rsidRPr="00D11FC4">
        <w:rPr>
          <w:rFonts w:eastAsia="Times New Roman" w:cstheme="minorHAnsi"/>
          <w:color w:val="000000" w:themeColor="text1"/>
          <w:spacing w:val="4"/>
          <w:vertAlign w:val="superscript"/>
        </w:rPr>
        <w:t>1</w:t>
      </w:r>
    </w:p>
    <w:p w14:paraId="32F03F13" w14:textId="77777777" w:rsidR="00D11FC4" w:rsidRPr="00D11FC4" w:rsidRDefault="00D11FC4" w:rsidP="00D11FC4">
      <w:pPr>
        <w:spacing w:after="0" w:line="240" w:lineRule="auto"/>
        <w:ind w:left="1440"/>
        <w:textAlignment w:val="baseline"/>
        <w:rPr>
          <w:rFonts w:ascii="Roboto" w:eastAsia="Times New Roman" w:hAnsi="Roboto" w:cs="Times New Roman"/>
          <w:color w:val="808080"/>
          <w:spacing w:val="4"/>
        </w:rPr>
      </w:pPr>
    </w:p>
    <w:p w14:paraId="6748E52E" w14:textId="767175F4" w:rsidR="00E91247" w:rsidRPr="00D11FC4" w:rsidRDefault="00E91247" w:rsidP="00B925F0">
      <w:pPr>
        <w:outlineLvl w:val="1"/>
        <w:rPr>
          <w:rFonts w:eastAsia="Times New Roman" w:cstheme="minorHAnsi"/>
          <w:i/>
          <w:iCs/>
        </w:rPr>
      </w:pPr>
      <w:r w:rsidRPr="00D11FC4">
        <w:rPr>
          <w:rFonts w:eastAsia="Times New Roman" w:cstheme="minorHAnsi"/>
          <w:b/>
          <w:bCs/>
          <w:spacing w:val="4"/>
          <w:u w:val="single"/>
        </w:rPr>
        <w:t>Objective 2</w:t>
      </w:r>
      <w:r w:rsidRPr="00D11FC4">
        <w:rPr>
          <w:rFonts w:eastAsia="Times New Roman" w:cstheme="minorHAnsi"/>
          <w:b/>
          <w:bCs/>
          <w:spacing w:val="4"/>
        </w:rPr>
        <w:t>:</w:t>
      </w:r>
      <w:r w:rsidRPr="00D11FC4">
        <w:rPr>
          <w:rFonts w:eastAsia="Times New Roman" w:cstheme="minorHAnsi"/>
          <w:spacing w:val="4"/>
        </w:rPr>
        <w:t> </w:t>
      </w:r>
      <w:r w:rsidRPr="00D11FC4">
        <w:rPr>
          <w:rFonts w:eastAsia="Times New Roman" w:cstheme="minorHAnsi"/>
          <w:b/>
          <w:bCs/>
        </w:rPr>
        <w:t xml:space="preserve">Develop a </w:t>
      </w:r>
      <w:r w:rsidR="001C5DA3" w:rsidRPr="00D11FC4">
        <w:rPr>
          <w:rFonts w:eastAsia="Times New Roman" w:cstheme="minorHAnsi"/>
          <w:b/>
          <w:bCs/>
        </w:rPr>
        <w:t>differential and initial evaluation for</w:t>
      </w:r>
      <w:r w:rsidR="001C5DA3" w:rsidRPr="00D11FC4">
        <w:rPr>
          <w:rFonts w:eastAsia="Times New Roman" w:cstheme="minorHAnsi"/>
        </w:rPr>
        <w:t xml:space="preserve"> </w:t>
      </w:r>
      <w:r w:rsidR="001C5DA3" w:rsidRPr="00D11FC4">
        <w:rPr>
          <w:rFonts w:eastAsia="Times New Roman" w:cstheme="minorHAnsi"/>
          <w:b/>
          <w:bCs/>
        </w:rPr>
        <w:t>patients</w:t>
      </w:r>
      <w:r w:rsidRPr="00D11FC4">
        <w:rPr>
          <w:rFonts w:eastAsia="Times New Roman" w:cstheme="minorHAnsi"/>
          <w:b/>
          <w:bCs/>
        </w:rPr>
        <w:t xml:space="preserve"> presenting with symptoms concerning for PCOS.</w:t>
      </w:r>
      <w:r w:rsidRPr="00D11FC4">
        <w:rPr>
          <w:rFonts w:eastAsia="Times New Roman" w:cstheme="minorHAnsi"/>
        </w:rPr>
        <w:t xml:space="preserve"> </w:t>
      </w:r>
      <w:r w:rsidR="005C72FE" w:rsidRPr="00D11FC4">
        <w:rPr>
          <w:rFonts w:eastAsia="Times New Roman" w:cstheme="minorHAnsi"/>
          <w:b/>
          <w:bCs/>
          <w:i/>
          <w:iCs/>
        </w:rPr>
        <w:t>(Differential and Evaluation)</w:t>
      </w:r>
    </w:p>
    <w:p w14:paraId="7363DD16" w14:textId="18140973" w:rsidR="001D2FAA" w:rsidRPr="00D11FC4" w:rsidRDefault="001D2FAA" w:rsidP="001D2FAA">
      <w:pPr>
        <w:outlineLvl w:val="1"/>
        <w:rPr>
          <w:rFonts w:eastAsia="Times New Roman" w:cstheme="minorHAnsi"/>
        </w:rPr>
      </w:pPr>
      <w:r w:rsidRPr="00D11FC4">
        <w:rPr>
          <w:rFonts w:eastAsia="Times New Roman" w:cstheme="minorHAnsi"/>
        </w:rPr>
        <w:t xml:space="preserve">PCOS is a diagnosis of exclusion. It is essential to exclude secondary causes of hyperandrogenism </w:t>
      </w:r>
      <w:r w:rsidR="001E6DA3" w:rsidRPr="00D11FC4">
        <w:rPr>
          <w:rFonts w:eastAsia="Times New Roman" w:cstheme="minorHAnsi"/>
        </w:rPr>
        <w:t xml:space="preserve">and menstrual irregularities </w:t>
      </w:r>
      <w:r w:rsidRPr="00D11FC4">
        <w:rPr>
          <w:rFonts w:eastAsia="Times New Roman" w:cstheme="minorHAnsi"/>
        </w:rPr>
        <w:t xml:space="preserve">in your workup for PCOS. </w:t>
      </w:r>
    </w:p>
    <w:p w14:paraId="47D14196" w14:textId="34E84605" w:rsidR="001D2FAA" w:rsidRPr="00D11FC4" w:rsidRDefault="00D11FC4" w:rsidP="001D2FAA">
      <w:pPr>
        <w:outlineLvl w:val="1"/>
        <w:rPr>
          <w:rFonts w:eastAsia="Times New Roman" w:cstheme="minorHAnsi"/>
          <w:i/>
          <w:color w:val="000000" w:themeColor="text1"/>
        </w:rPr>
      </w:pPr>
      <w:r w:rsidRPr="00D11FC4">
        <w:rPr>
          <w:rStyle w:val="Emphasis"/>
          <w:rFonts w:cstheme="minorHAnsi"/>
          <w:color w:val="000000" w:themeColor="text1"/>
          <w:spacing w:val="4"/>
          <w:shd w:val="clear" w:color="auto" w:fill="FEFEFE"/>
        </w:rPr>
        <w:t>Ask your learners – what are other causes of hyperandrogenism, menstrual irregularities and polycystic ovaries? Click on each of these buttons to reveal the answer. Emphasize the most common causes, which are highlighted in larger and bolded text. Then click on the “Evaluation” buttons to reveal initial diagnostic work-up. Emphasize the diagnostic evaluation that should be completed in all patients, which are highlighted in larger and bolded text. Other diagnostic evaluation should be considered based on the clinical picture. </w:t>
      </w:r>
      <w:r w:rsidR="005C72FE" w:rsidRPr="00D11FC4">
        <w:rPr>
          <w:rFonts w:eastAsia="Times New Roman" w:cstheme="minorHAnsi"/>
          <w:i/>
          <w:color w:val="000000" w:themeColor="text1"/>
        </w:rPr>
        <w:t xml:space="preserve"> </w:t>
      </w:r>
    </w:p>
    <w:p w14:paraId="29D59651" w14:textId="718FBB65" w:rsidR="005C72FE" w:rsidRPr="00D11FC4" w:rsidRDefault="005C72FE" w:rsidP="005C72FE">
      <w:pPr>
        <w:pStyle w:val="ListParagraph"/>
        <w:numPr>
          <w:ilvl w:val="0"/>
          <w:numId w:val="12"/>
        </w:numPr>
        <w:outlineLvl w:val="1"/>
        <w:rPr>
          <w:rFonts w:eastAsia="Times New Roman" w:cstheme="minorHAnsi"/>
        </w:rPr>
      </w:pPr>
      <w:r w:rsidRPr="00D11FC4">
        <w:rPr>
          <w:rFonts w:eastAsia="Times New Roman" w:cstheme="minorHAnsi"/>
          <w:u w:val="single"/>
        </w:rPr>
        <w:t>Hyperandrogenism</w:t>
      </w:r>
      <w:r w:rsidRPr="00D11FC4">
        <w:rPr>
          <w:rFonts w:eastAsia="Times New Roman" w:cstheme="minorHAnsi"/>
        </w:rPr>
        <w:t xml:space="preserve"> – </w:t>
      </w:r>
    </w:p>
    <w:p w14:paraId="3215029C" w14:textId="553F7FBB" w:rsidR="005C72FE" w:rsidRPr="00D11FC4" w:rsidRDefault="005C72FE" w:rsidP="005C72FE">
      <w:pPr>
        <w:pStyle w:val="ListParagraph"/>
        <w:numPr>
          <w:ilvl w:val="1"/>
          <w:numId w:val="12"/>
        </w:numPr>
        <w:outlineLvl w:val="1"/>
        <w:rPr>
          <w:rFonts w:eastAsia="Times New Roman" w:cstheme="minorHAnsi"/>
          <w:i/>
          <w:iCs/>
        </w:rPr>
      </w:pPr>
      <w:r w:rsidRPr="00D11FC4">
        <w:rPr>
          <w:rFonts w:eastAsia="Times New Roman" w:cstheme="minorHAnsi"/>
          <w:i/>
          <w:iCs/>
        </w:rPr>
        <w:t xml:space="preserve">Differential: </w:t>
      </w:r>
      <w:r w:rsidR="00FB44ED" w:rsidRPr="00D11FC4">
        <w:rPr>
          <w:rFonts w:eastAsia="Times New Roman" w:cstheme="minorHAnsi"/>
        </w:rPr>
        <w:t xml:space="preserve">Other causes of hyperandrogenism include congenital adrenal hyperplasia (CAH), acromegaly, androgen secreting tumors, and Cushing’s syndrome. </w:t>
      </w:r>
    </w:p>
    <w:p w14:paraId="1CF86991" w14:textId="7104FD44" w:rsidR="005C72FE" w:rsidRPr="00D11FC4" w:rsidRDefault="005C72FE" w:rsidP="007D3F9D">
      <w:pPr>
        <w:pStyle w:val="ListParagraph"/>
        <w:numPr>
          <w:ilvl w:val="1"/>
          <w:numId w:val="12"/>
        </w:numPr>
        <w:outlineLvl w:val="1"/>
        <w:rPr>
          <w:rFonts w:eastAsia="Times New Roman" w:cstheme="minorHAnsi"/>
        </w:rPr>
      </w:pPr>
      <w:r w:rsidRPr="00D11FC4">
        <w:rPr>
          <w:rFonts w:eastAsia="Times New Roman" w:cstheme="minorHAnsi"/>
          <w:i/>
          <w:iCs/>
        </w:rPr>
        <w:t>Evaluation:</w:t>
      </w:r>
      <w:r w:rsidR="00FB44ED" w:rsidRPr="00D11FC4">
        <w:rPr>
          <w:rFonts w:eastAsia="Times New Roman" w:cstheme="minorHAnsi"/>
          <w:i/>
          <w:iCs/>
        </w:rPr>
        <w:t xml:space="preserve"> </w:t>
      </w:r>
      <w:r w:rsidRPr="00D11FC4">
        <w:rPr>
          <w:rFonts w:eastAsia="Times New Roman" w:cstheme="minorHAnsi"/>
        </w:rPr>
        <w:t xml:space="preserve">If physical signs of hyperandrogenism are subtle or difficult to determine, additional lab evaluation can be ordered. </w:t>
      </w:r>
    </w:p>
    <w:p w14:paraId="00F6A178" w14:textId="6B7D04F0" w:rsidR="005C72FE" w:rsidRPr="00D11FC4" w:rsidRDefault="005C72FE" w:rsidP="007D3F9D">
      <w:pPr>
        <w:pStyle w:val="ListParagraph"/>
        <w:numPr>
          <w:ilvl w:val="3"/>
          <w:numId w:val="14"/>
        </w:numPr>
        <w:ind w:left="2070"/>
        <w:outlineLvl w:val="1"/>
        <w:rPr>
          <w:rFonts w:eastAsia="Times New Roman" w:cstheme="minorHAnsi"/>
        </w:rPr>
      </w:pPr>
      <w:r w:rsidRPr="00D11FC4">
        <w:rPr>
          <w:rFonts w:eastAsia="Times New Roman" w:cstheme="minorHAnsi"/>
        </w:rPr>
        <w:t xml:space="preserve">The single best test is to get a </w:t>
      </w:r>
      <w:r w:rsidRPr="00D11FC4">
        <w:rPr>
          <w:rFonts w:eastAsia="Times New Roman" w:cstheme="minorHAnsi"/>
          <w:b/>
          <w:bCs/>
        </w:rPr>
        <w:t>total testosterone</w:t>
      </w:r>
      <w:r w:rsidRPr="00D11FC4">
        <w:rPr>
          <w:rFonts w:eastAsia="Times New Roman" w:cstheme="minorHAnsi"/>
        </w:rPr>
        <w:t xml:space="preserve">. </w:t>
      </w:r>
      <w:r w:rsidR="00B63599" w:rsidRPr="00D11FC4">
        <w:rPr>
          <w:rFonts w:eastAsia="Times New Roman" w:cstheme="minorHAnsi"/>
        </w:rPr>
        <w:t>Free testosterone measurements can be inaccurate or unreliable. Free serum testosterone can be calculated by free androgen index (FAI). FAI is the ratio between the total testosterone and the s</w:t>
      </w:r>
      <w:r w:rsidR="00943BF6" w:rsidRPr="00D11FC4">
        <w:rPr>
          <w:rFonts w:eastAsia="Times New Roman" w:cstheme="minorHAnsi"/>
        </w:rPr>
        <w:t>ex hormone binding globulin (SHBG)</w:t>
      </w:r>
      <w:r w:rsidR="00B63599" w:rsidRPr="00D11FC4">
        <w:rPr>
          <w:rFonts w:eastAsia="Times New Roman" w:cstheme="minorHAnsi"/>
        </w:rPr>
        <w:t>, which is another measure of hyperandrogenemia.</w:t>
      </w:r>
      <w:r w:rsidR="00463F9E" w:rsidRPr="00D11FC4">
        <w:rPr>
          <w:rFonts w:eastAsia="Times New Roman" w:cstheme="minorHAnsi"/>
          <w:vertAlign w:val="superscript"/>
        </w:rPr>
        <w:t>1,3</w:t>
      </w:r>
      <w:r w:rsidR="00B63599" w:rsidRPr="00D11FC4">
        <w:rPr>
          <w:rFonts w:eastAsia="Times New Roman" w:cstheme="minorHAnsi"/>
        </w:rPr>
        <w:t xml:space="preserve"> </w:t>
      </w:r>
    </w:p>
    <w:p w14:paraId="5EBC8E38" w14:textId="6CE01CC0" w:rsidR="00FB44ED" w:rsidRPr="00D11FC4" w:rsidRDefault="00B63599" w:rsidP="00821D1B">
      <w:pPr>
        <w:pStyle w:val="ListParagraph"/>
        <w:numPr>
          <w:ilvl w:val="3"/>
          <w:numId w:val="14"/>
        </w:numPr>
        <w:ind w:left="2070"/>
        <w:outlineLvl w:val="1"/>
        <w:rPr>
          <w:rFonts w:eastAsia="Times New Roman" w:cstheme="minorHAnsi"/>
        </w:rPr>
      </w:pPr>
      <w:r w:rsidRPr="00D11FC4">
        <w:rPr>
          <w:rFonts w:eastAsia="Times New Roman" w:cstheme="minorHAnsi"/>
        </w:rPr>
        <w:t>C</w:t>
      </w:r>
      <w:r w:rsidR="005C72FE" w:rsidRPr="00D11FC4">
        <w:rPr>
          <w:rFonts w:eastAsia="Times New Roman" w:cstheme="minorHAnsi"/>
        </w:rPr>
        <w:t xml:space="preserve">onsider a </w:t>
      </w:r>
      <w:r w:rsidR="005C72FE" w:rsidRPr="00D11FC4">
        <w:rPr>
          <w:rFonts w:eastAsia="Times New Roman" w:cstheme="minorHAnsi"/>
          <w:b/>
          <w:bCs/>
        </w:rPr>
        <w:t xml:space="preserve">17-hydroxyprogesterone </w:t>
      </w:r>
      <w:r w:rsidR="001A688F" w:rsidRPr="00D11FC4">
        <w:rPr>
          <w:rFonts w:eastAsia="Times New Roman" w:cstheme="minorHAnsi"/>
          <w:b/>
          <w:bCs/>
        </w:rPr>
        <w:t>level</w:t>
      </w:r>
      <w:r w:rsidR="001A688F" w:rsidRPr="00D11FC4">
        <w:rPr>
          <w:rFonts w:eastAsia="Times New Roman" w:cstheme="minorHAnsi"/>
        </w:rPr>
        <w:t xml:space="preserve"> to</w:t>
      </w:r>
      <w:r w:rsidR="00C54B9E" w:rsidRPr="00D11FC4">
        <w:rPr>
          <w:rFonts w:eastAsia="Times New Roman" w:cstheme="minorHAnsi"/>
        </w:rPr>
        <w:t xml:space="preserve"> rule out</w:t>
      </w:r>
      <w:r w:rsidR="005C72FE" w:rsidRPr="00D11FC4">
        <w:rPr>
          <w:rFonts w:eastAsia="Times New Roman" w:cstheme="minorHAnsi"/>
        </w:rPr>
        <w:t xml:space="preserve"> 21-hydroxylase deficiency, </w:t>
      </w:r>
      <w:r w:rsidRPr="00D11FC4">
        <w:rPr>
          <w:rFonts w:eastAsia="Times New Roman" w:cstheme="minorHAnsi"/>
        </w:rPr>
        <w:t xml:space="preserve">a type of </w:t>
      </w:r>
      <w:r w:rsidR="00C54B9E" w:rsidRPr="00D11FC4">
        <w:rPr>
          <w:rFonts w:eastAsia="Times New Roman" w:cstheme="minorHAnsi"/>
        </w:rPr>
        <w:t xml:space="preserve">non-classic </w:t>
      </w:r>
      <w:r w:rsidR="00FB44ED" w:rsidRPr="00D11FC4">
        <w:rPr>
          <w:rFonts w:eastAsia="Times New Roman" w:cstheme="minorHAnsi"/>
        </w:rPr>
        <w:t>CAH</w:t>
      </w:r>
      <w:r w:rsidR="00C54B9E" w:rsidRPr="00D11FC4">
        <w:rPr>
          <w:rFonts w:eastAsia="Times New Roman" w:cstheme="minorHAnsi"/>
        </w:rPr>
        <w:t>, in women with hyperandrogenism. Nonclassic CAH is more commonly seen in women of Ashkenazi Jewish, Italian, or Slavic descent.</w:t>
      </w:r>
      <w:r w:rsidR="00DB6B34" w:rsidRPr="00D11FC4">
        <w:rPr>
          <w:rFonts w:eastAsia="Times New Roman" w:cstheme="minorHAnsi"/>
          <w:vertAlign w:val="superscript"/>
        </w:rPr>
        <w:t>2,6</w:t>
      </w:r>
    </w:p>
    <w:p w14:paraId="30289B6D" w14:textId="3B4A99A4" w:rsidR="00821D1B" w:rsidRPr="00D11FC4" w:rsidRDefault="005C72FE" w:rsidP="00821D1B">
      <w:pPr>
        <w:pStyle w:val="ListParagraph"/>
        <w:numPr>
          <w:ilvl w:val="3"/>
          <w:numId w:val="14"/>
        </w:numPr>
        <w:ind w:left="2070"/>
        <w:outlineLvl w:val="1"/>
        <w:rPr>
          <w:rFonts w:eastAsia="Times New Roman" w:cstheme="minorHAnsi"/>
        </w:rPr>
      </w:pPr>
      <w:r w:rsidRPr="00D11FC4">
        <w:rPr>
          <w:rFonts w:eastAsia="Times New Roman" w:cstheme="minorHAnsi"/>
        </w:rPr>
        <w:lastRenderedPageBreak/>
        <w:t xml:space="preserve">Consider DHEAS if </w:t>
      </w:r>
      <w:r w:rsidR="00FB44ED" w:rsidRPr="00D11FC4">
        <w:rPr>
          <w:rFonts w:eastAsia="Times New Roman" w:cstheme="minorHAnsi"/>
        </w:rPr>
        <w:t>there is concern</w:t>
      </w:r>
      <w:r w:rsidRPr="00D11FC4">
        <w:rPr>
          <w:rFonts w:eastAsia="Times New Roman" w:cstheme="minorHAnsi"/>
        </w:rPr>
        <w:t xml:space="preserve"> for </w:t>
      </w:r>
      <w:r w:rsidR="00EB7CDD">
        <w:rPr>
          <w:rFonts w:eastAsia="Times New Roman" w:cstheme="minorHAnsi"/>
        </w:rPr>
        <w:t>androgen</w:t>
      </w:r>
      <w:r w:rsidRPr="00D11FC4">
        <w:rPr>
          <w:rFonts w:eastAsia="Times New Roman" w:cstheme="minorHAnsi"/>
        </w:rPr>
        <w:t>-secreting tumor</w:t>
      </w:r>
      <w:r w:rsidR="007B5F48" w:rsidRPr="00D11FC4">
        <w:rPr>
          <w:rFonts w:eastAsia="Times New Roman" w:cstheme="minorHAnsi"/>
        </w:rPr>
        <w:t xml:space="preserve"> (adrenal or ovarian)</w:t>
      </w:r>
      <w:r w:rsidRPr="00D11FC4">
        <w:rPr>
          <w:rFonts w:eastAsia="Times New Roman" w:cstheme="minorHAnsi"/>
        </w:rPr>
        <w:t xml:space="preserve"> </w:t>
      </w:r>
      <w:r w:rsidR="000178DD" w:rsidRPr="00D11FC4">
        <w:rPr>
          <w:rFonts w:eastAsia="Times New Roman" w:cstheme="minorHAnsi"/>
        </w:rPr>
        <w:t>in the case of very high testosterone levels or rapid virilization.</w:t>
      </w:r>
      <w:r w:rsidR="00DB6B34" w:rsidRPr="00D11FC4">
        <w:rPr>
          <w:rFonts w:eastAsia="Times New Roman" w:cstheme="minorHAnsi"/>
          <w:vertAlign w:val="superscript"/>
        </w:rPr>
        <w:t>2,</w:t>
      </w:r>
      <w:r w:rsidR="008902E2" w:rsidRPr="00D11FC4">
        <w:rPr>
          <w:rFonts w:eastAsia="Times New Roman" w:cstheme="minorHAnsi"/>
          <w:vertAlign w:val="superscript"/>
        </w:rPr>
        <w:t>4,</w:t>
      </w:r>
      <w:r w:rsidR="00DB6B34" w:rsidRPr="00D11FC4">
        <w:rPr>
          <w:rFonts w:eastAsia="Times New Roman" w:cstheme="minorHAnsi"/>
          <w:vertAlign w:val="superscript"/>
        </w:rPr>
        <w:t>6</w:t>
      </w:r>
    </w:p>
    <w:p w14:paraId="1CEAEB58" w14:textId="77777777" w:rsidR="00EB7CDD" w:rsidRDefault="000178DD" w:rsidP="007D3F9D">
      <w:pPr>
        <w:pStyle w:val="ListParagraph"/>
        <w:numPr>
          <w:ilvl w:val="3"/>
          <w:numId w:val="14"/>
        </w:numPr>
        <w:ind w:left="2070"/>
        <w:outlineLvl w:val="1"/>
      </w:pPr>
      <w:r w:rsidRPr="00D11FC4">
        <w:rPr>
          <w:rFonts w:eastAsia="Times New Roman" w:cstheme="minorHAnsi"/>
        </w:rPr>
        <w:t>Consider</w:t>
      </w:r>
      <w:r w:rsidR="005C72FE" w:rsidRPr="00D11FC4">
        <w:rPr>
          <w:rFonts w:eastAsia="Times New Roman" w:cstheme="minorHAnsi"/>
        </w:rPr>
        <w:t xml:space="preserve"> midnight salivary cortisol to evaluate for Cushing’s</w:t>
      </w:r>
      <w:r w:rsidRPr="00D11FC4">
        <w:rPr>
          <w:rFonts w:eastAsia="Times New Roman" w:cstheme="minorHAnsi"/>
        </w:rPr>
        <w:t xml:space="preserve"> (in the case of other physical findings such as striae, hypertension, proximal myopathy)</w:t>
      </w:r>
      <w:r w:rsidR="00FB44ED" w:rsidRPr="00D11FC4">
        <w:rPr>
          <w:rFonts w:eastAsia="Times New Roman" w:cstheme="minorHAnsi"/>
        </w:rPr>
        <w:t>.</w:t>
      </w:r>
      <w:r w:rsidR="00FB44ED" w:rsidRPr="00D11FC4">
        <w:t xml:space="preserve"> </w:t>
      </w:r>
    </w:p>
    <w:p w14:paraId="11097598" w14:textId="10D52187" w:rsidR="005C72FE" w:rsidRPr="00D11FC4" w:rsidRDefault="00EB7CDD" w:rsidP="007D3F9D">
      <w:pPr>
        <w:pStyle w:val="ListParagraph"/>
        <w:numPr>
          <w:ilvl w:val="3"/>
          <w:numId w:val="14"/>
        </w:numPr>
        <w:ind w:left="2070"/>
        <w:outlineLvl w:val="1"/>
      </w:pPr>
      <w:r>
        <w:t>Cushing’s and androgen-secreting tumors</w:t>
      </w:r>
      <w:r w:rsidR="005C72FE" w:rsidRPr="00D11FC4">
        <w:t xml:space="preserve"> are rare and should be considered only if </w:t>
      </w:r>
      <w:r>
        <w:t xml:space="preserve">there is </w:t>
      </w:r>
      <w:r w:rsidR="005C72FE" w:rsidRPr="00D11FC4">
        <w:t>clinical concern</w:t>
      </w:r>
      <w:r w:rsidR="00DB6B34" w:rsidRPr="00D11FC4">
        <w:t>.</w:t>
      </w:r>
      <w:r w:rsidR="00DB6B34" w:rsidRPr="00D11FC4">
        <w:rPr>
          <w:vertAlign w:val="superscript"/>
        </w:rPr>
        <w:t>2,3,6</w:t>
      </w:r>
    </w:p>
    <w:p w14:paraId="3C98135D" w14:textId="16E5F33E" w:rsidR="005C72FE" w:rsidRPr="00D11FC4" w:rsidRDefault="005C72FE" w:rsidP="005C72FE">
      <w:pPr>
        <w:pStyle w:val="ListParagraph"/>
        <w:numPr>
          <w:ilvl w:val="0"/>
          <w:numId w:val="12"/>
        </w:numPr>
        <w:outlineLvl w:val="1"/>
        <w:rPr>
          <w:rFonts w:eastAsia="Times New Roman" w:cstheme="minorHAnsi"/>
        </w:rPr>
      </w:pPr>
      <w:r w:rsidRPr="00D11FC4">
        <w:rPr>
          <w:rFonts w:eastAsia="Times New Roman" w:cstheme="minorHAnsi"/>
          <w:u w:val="single"/>
        </w:rPr>
        <w:t>Menstrual irregularities</w:t>
      </w:r>
      <w:r w:rsidRPr="00D11FC4">
        <w:rPr>
          <w:rFonts w:eastAsia="Times New Roman" w:cstheme="minorHAnsi"/>
        </w:rPr>
        <w:t xml:space="preserve"> – </w:t>
      </w:r>
      <w:r w:rsidR="000178DD" w:rsidRPr="00D11FC4">
        <w:rPr>
          <w:rFonts w:eastAsia="Times New Roman" w:cstheme="minorHAnsi"/>
        </w:rPr>
        <w:t>There is a broad differential for menstrual irregularities</w:t>
      </w:r>
      <w:r w:rsidR="00B17E9D" w:rsidRPr="00D11FC4">
        <w:rPr>
          <w:rFonts w:eastAsia="Times New Roman" w:cstheme="minorHAnsi"/>
        </w:rPr>
        <w:t xml:space="preserve">. </w:t>
      </w:r>
    </w:p>
    <w:p w14:paraId="312BA3AA" w14:textId="01008096" w:rsidR="005C72FE" w:rsidRDefault="00C54B9E" w:rsidP="005C72FE">
      <w:pPr>
        <w:pStyle w:val="ListParagraph"/>
        <w:numPr>
          <w:ilvl w:val="1"/>
          <w:numId w:val="12"/>
        </w:numPr>
        <w:outlineLvl w:val="1"/>
        <w:rPr>
          <w:rFonts w:eastAsia="Times New Roman" w:cstheme="minorHAnsi"/>
        </w:rPr>
      </w:pPr>
      <w:r w:rsidRPr="00D11FC4">
        <w:rPr>
          <w:rFonts w:eastAsia="Times New Roman" w:cstheme="minorHAnsi"/>
        </w:rPr>
        <w:t xml:space="preserve">All patients with oligomenorrhea or amenorrhea should be ruled out for pregnancy and hypothalamic or pituitary diseases that might cause hyperprolactinemia (prolactinoma, </w:t>
      </w:r>
      <w:r w:rsidR="007B5F48" w:rsidRPr="00D11FC4">
        <w:rPr>
          <w:rFonts w:eastAsia="Times New Roman" w:cstheme="minorHAnsi"/>
        </w:rPr>
        <w:t>thyroid disorders</w:t>
      </w:r>
      <w:r w:rsidRPr="00D11FC4">
        <w:rPr>
          <w:rFonts w:eastAsia="Times New Roman" w:cstheme="minorHAnsi"/>
        </w:rPr>
        <w:t xml:space="preserve">). Initial laboratory testing should include </w:t>
      </w:r>
      <w:r w:rsidRPr="00D11FC4">
        <w:rPr>
          <w:rFonts w:eastAsia="Times New Roman" w:cstheme="minorHAnsi"/>
          <w:b/>
          <w:bCs/>
        </w:rPr>
        <w:t>TSH</w:t>
      </w:r>
      <w:r w:rsidRPr="00D11FC4">
        <w:rPr>
          <w:rFonts w:eastAsia="Times New Roman" w:cstheme="minorHAnsi"/>
        </w:rPr>
        <w:t xml:space="preserve"> ± </w:t>
      </w:r>
      <w:r w:rsidRPr="00D11FC4">
        <w:rPr>
          <w:rFonts w:eastAsia="Times New Roman" w:cstheme="minorHAnsi"/>
          <w:b/>
          <w:bCs/>
        </w:rPr>
        <w:t>free T4</w:t>
      </w:r>
      <w:r w:rsidRPr="00D11FC4">
        <w:rPr>
          <w:rFonts w:eastAsia="Times New Roman" w:cstheme="minorHAnsi"/>
        </w:rPr>
        <w:t xml:space="preserve">, </w:t>
      </w:r>
      <w:r w:rsidRPr="00D11FC4">
        <w:rPr>
          <w:rFonts w:eastAsia="Times New Roman" w:cstheme="minorHAnsi"/>
          <w:b/>
          <w:bCs/>
        </w:rPr>
        <w:t>β-HCG</w:t>
      </w:r>
      <w:r w:rsidRPr="00D11FC4">
        <w:rPr>
          <w:rFonts w:eastAsia="Times New Roman" w:cstheme="minorHAnsi"/>
        </w:rPr>
        <w:t xml:space="preserve">, </w:t>
      </w:r>
      <w:r w:rsidRPr="00D11FC4">
        <w:rPr>
          <w:rFonts w:eastAsia="Times New Roman" w:cstheme="minorHAnsi"/>
          <w:b/>
          <w:bCs/>
        </w:rPr>
        <w:t>prolactin levels</w:t>
      </w:r>
      <w:r w:rsidRPr="00D11FC4">
        <w:rPr>
          <w:rFonts w:eastAsia="Times New Roman" w:cstheme="minorHAnsi"/>
        </w:rPr>
        <w:t xml:space="preserve">. Clinical history should rule out functional hypothalamic amenorrhea caused by extreme exercise or an eating disorder. </w:t>
      </w:r>
    </w:p>
    <w:p w14:paraId="0B51A50E" w14:textId="601DD549" w:rsidR="00D11FC4" w:rsidRPr="00D11FC4" w:rsidRDefault="00D11FC4" w:rsidP="00D11FC4">
      <w:pPr>
        <w:pStyle w:val="ListParagraph"/>
        <w:numPr>
          <w:ilvl w:val="1"/>
          <w:numId w:val="12"/>
        </w:numPr>
        <w:outlineLvl w:val="1"/>
        <w:rPr>
          <w:rFonts w:eastAsia="Times New Roman" w:cstheme="minorHAnsi"/>
        </w:rPr>
      </w:pPr>
      <w:r w:rsidRPr="00D11FC4">
        <w:rPr>
          <w:rFonts w:eastAsia="Times New Roman" w:cstheme="minorHAnsi"/>
        </w:rPr>
        <w:t>Structural abnormalities such as polyps, adenomyosis, leiomyoma, malignancy, endometrial hyperplasia can be associated with menstrual irregularities. A pelvic ultrasound could be considered for evaluation of structural abnormalities.</w:t>
      </w:r>
      <w:r w:rsidRPr="00D11FC4">
        <w:rPr>
          <w:rFonts w:eastAsia="Times New Roman" w:cstheme="minorHAnsi"/>
          <w:vertAlign w:val="superscript"/>
        </w:rPr>
        <w:t>2,3</w:t>
      </w:r>
      <w:r w:rsidRPr="00D11FC4">
        <w:rPr>
          <w:rFonts w:eastAsia="Times New Roman" w:cstheme="minorHAnsi"/>
        </w:rPr>
        <w:t xml:space="preserve"> </w:t>
      </w:r>
    </w:p>
    <w:p w14:paraId="7BAF2EB0" w14:textId="17FF2221" w:rsidR="00C54B9E" w:rsidRPr="00D11FC4" w:rsidRDefault="007B5F48" w:rsidP="005C72FE">
      <w:pPr>
        <w:pStyle w:val="ListParagraph"/>
        <w:numPr>
          <w:ilvl w:val="1"/>
          <w:numId w:val="12"/>
        </w:numPr>
        <w:outlineLvl w:val="1"/>
        <w:rPr>
          <w:rFonts w:eastAsia="Times New Roman" w:cstheme="minorHAnsi"/>
        </w:rPr>
      </w:pPr>
      <w:r w:rsidRPr="00D11FC4">
        <w:rPr>
          <w:rFonts w:eastAsia="Times New Roman" w:cstheme="minorHAnsi"/>
        </w:rPr>
        <w:t xml:space="preserve">LH and FSH can be considered in patients where there is concern for hypothalamic dysfunction or premature ovarian </w:t>
      </w:r>
      <w:r w:rsidR="00815627" w:rsidRPr="00D11FC4">
        <w:rPr>
          <w:rFonts w:eastAsia="Times New Roman" w:cstheme="minorHAnsi"/>
        </w:rPr>
        <w:t>insufficiency</w:t>
      </w:r>
      <w:r w:rsidRPr="00D11FC4">
        <w:rPr>
          <w:rFonts w:eastAsia="Times New Roman" w:cstheme="minorHAnsi"/>
        </w:rPr>
        <w:t xml:space="preserve"> or early menopause. PCOS is associated with an increased LH/FSH ratio but because LH secretion is pulsatile, absence of an increased ratio does not rule out diagnosis.</w:t>
      </w:r>
      <w:r w:rsidR="0097176F" w:rsidRPr="00D11FC4">
        <w:rPr>
          <w:rFonts w:eastAsia="Times New Roman" w:cstheme="minorHAnsi"/>
          <w:vertAlign w:val="superscript"/>
        </w:rPr>
        <w:t>3</w:t>
      </w:r>
      <w:r w:rsidRPr="00D11FC4">
        <w:rPr>
          <w:rFonts w:eastAsia="Times New Roman" w:cstheme="minorHAnsi"/>
        </w:rPr>
        <w:t xml:space="preserve"> </w:t>
      </w:r>
    </w:p>
    <w:p w14:paraId="78304347" w14:textId="50F8F616" w:rsidR="001D2FAA" w:rsidRPr="00D11FC4" w:rsidRDefault="005C72FE" w:rsidP="007D3F9D">
      <w:pPr>
        <w:pStyle w:val="ListParagraph"/>
        <w:numPr>
          <w:ilvl w:val="0"/>
          <w:numId w:val="12"/>
        </w:numPr>
        <w:outlineLvl w:val="1"/>
        <w:rPr>
          <w:rFonts w:eastAsia="Times New Roman" w:cstheme="minorHAnsi"/>
        </w:rPr>
      </w:pPr>
      <w:r w:rsidRPr="00D11FC4">
        <w:rPr>
          <w:rFonts w:eastAsia="Times New Roman" w:cstheme="minorHAnsi"/>
          <w:u w:val="single"/>
        </w:rPr>
        <w:t>Polycystic ovaries</w:t>
      </w:r>
      <w:r w:rsidRPr="00D11FC4">
        <w:rPr>
          <w:rFonts w:eastAsia="Times New Roman" w:cstheme="minorHAnsi"/>
        </w:rPr>
        <w:t xml:space="preserve"> – </w:t>
      </w:r>
      <w:r w:rsidR="007B5F48" w:rsidRPr="00D11FC4">
        <w:rPr>
          <w:rFonts w:eastAsia="Times New Roman" w:cstheme="minorHAnsi"/>
        </w:rPr>
        <w:t>can be seen in normal ovulatory cycle</w:t>
      </w:r>
      <w:r w:rsidR="00853791" w:rsidRPr="00D11FC4">
        <w:rPr>
          <w:rFonts w:eastAsia="Times New Roman" w:cstheme="minorHAnsi"/>
        </w:rPr>
        <w:t>. Some studies have estimated that more than 50% of women meet follicle number per ovary criteria. Similar appearance of polycystic ovaries has also been seen in female-to-male trans-</w:t>
      </w:r>
      <w:r w:rsidR="00815627" w:rsidRPr="00D11FC4">
        <w:rPr>
          <w:rFonts w:eastAsia="Times New Roman" w:cstheme="minorHAnsi"/>
        </w:rPr>
        <w:t>people</w:t>
      </w:r>
      <w:r w:rsidR="00853791" w:rsidRPr="00D11FC4">
        <w:rPr>
          <w:rFonts w:eastAsia="Times New Roman" w:cstheme="minorHAnsi"/>
        </w:rPr>
        <w:t xml:space="preserve"> after testosterone therapy.</w:t>
      </w:r>
      <w:r w:rsidR="00DB6B34" w:rsidRPr="00D11FC4">
        <w:rPr>
          <w:rFonts w:eastAsia="Times New Roman" w:cstheme="minorHAnsi"/>
          <w:vertAlign w:val="superscript"/>
        </w:rPr>
        <w:t>3</w:t>
      </w:r>
    </w:p>
    <w:p w14:paraId="728D0B7F" w14:textId="5152D355" w:rsidR="00E91247" w:rsidRPr="00D11FC4" w:rsidRDefault="00E91247" w:rsidP="00821D1B">
      <w:pPr>
        <w:outlineLvl w:val="1"/>
        <w:rPr>
          <w:rFonts w:eastAsia="Times New Roman" w:cstheme="minorHAnsi"/>
          <w:b/>
          <w:bCs/>
          <w:i/>
          <w:iCs/>
        </w:rPr>
      </w:pPr>
      <w:r w:rsidRPr="00D11FC4">
        <w:rPr>
          <w:rFonts w:eastAsia="Times New Roman" w:cstheme="minorHAnsi"/>
          <w:b/>
          <w:bCs/>
          <w:spacing w:val="4"/>
          <w:u w:val="single"/>
        </w:rPr>
        <w:t>Objective 3:</w:t>
      </w:r>
      <w:r w:rsidRPr="00D11FC4">
        <w:rPr>
          <w:rFonts w:eastAsia="Times New Roman" w:cstheme="minorHAnsi"/>
          <w:b/>
          <w:bCs/>
          <w:spacing w:val="4"/>
        </w:rPr>
        <w:t> </w:t>
      </w:r>
      <w:r w:rsidR="00047255" w:rsidRPr="00D11FC4">
        <w:rPr>
          <w:rFonts w:eastAsia="Times New Roman" w:cstheme="minorHAnsi"/>
          <w:b/>
          <w:bCs/>
        </w:rPr>
        <w:t xml:space="preserve">Identify </w:t>
      </w:r>
      <w:r w:rsidR="00D56A67" w:rsidRPr="00D11FC4">
        <w:rPr>
          <w:rFonts w:eastAsia="Times New Roman" w:cstheme="minorHAnsi"/>
          <w:b/>
          <w:bCs/>
        </w:rPr>
        <w:t xml:space="preserve">gynecologic and non-gynecologic </w:t>
      </w:r>
      <w:r w:rsidR="00047255" w:rsidRPr="00D11FC4">
        <w:rPr>
          <w:rFonts w:eastAsia="Times New Roman" w:cstheme="minorHAnsi"/>
          <w:b/>
          <w:bCs/>
        </w:rPr>
        <w:t xml:space="preserve">co-morbidities commonly associated with PCOS. </w:t>
      </w:r>
      <w:r w:rsidR="00821D1B" w:rsidRPr="00D11FC4">
        <w:rPr>
          <w:rFonts w:eastAsia="Times New Roman" w:cstheme="minorHAnsi"/>
          <w:b/>
          <w:bCs/>
          <w:i/>
          <w:iCs/>
        </w:rPr>
        <w:t>(Complications)</w:t>
      </w:r>
    </w:p>
    <w:p w14:paraId="0C10297D" w14:textId="709581B0" w:rsidR="001D2FAA" w:rsidRPr="00D11FC4" w:rsidRDefault="001D2FAA" w:rsidP="001D2FAA">
      <w:pPr>
        <w:outlineLvl w:val="1"/>
        <w:rPr>
          <w:rFonts w:eastAsia="Times New Roman" w:cstheme="minorHAnsi"/>
          <w:i/>
        </w:rPr>
      </w:pPr>
      <w:r w:rsidRPr="00D11FC4">
        <w:rPr>
          <w:rFonts w:eastAsia="Times New Roman" w:cstheme="minorHAnsi"/>
        </w:rPr>
        <w:t xml:space="preserve">There are many co-morbidities associated with PCOS. We will review them in two categories –non-gynecologic and gynecologic co-morbidities. </w:t>
      </w:r>
      <w:r w:rsidR="00A56061" w:rsidRPr="00D11FC4">
        <w:rPr>
          <w:rFonts w:eastAsia="Times New Roman" w:cstheme="minorHAnsi"/>
          <w:i/>
        </w:rPr>
        <w:t xml:space="preserve">Depending on your audience, </w:t>
      </w:r>
      <w:r w:rsidR="00780062" w:rsidRPr="00D11FC4">
        <w:rPr>
          <w:rFonts w:eastAsia="Times New Roman" w:cstheme="minorHAnsi"/>
          <w:i/>
        </w:rPr>
        <w:t>you may tailor the content covered about each individual r</w:t>
      </w:r>
      <w:r w:rsidR="00A56061" w:rsidRPr="00D11FC4">
        <w:rPr>
          <w:rFonts w:eastAsia="Times New Roman" w:cstheme="minorHAnsi"/>
          <w:i/>
        </w:rPr>
        <w:t xml:space="preserve">isk factors. </w:t>
      </w:r>
      <w:r w:rsidR="00052628" w:rsidRPr="00D11FC4">
        <w:rPr>
          <w:rFonts w:eastAsia="Times New Roman" w:cstheme="minorHAnsi"/>
          <w:i/>
        </w:rPr>
        <w:t xml:space="preserve"> </w:t>
      </w:r>
    </w:p>
    <w:p w14:paraId="33C77C1C" w14:textId="71824D60" w:rsidR="00F5097F" w:rsidRPr="00D11FC4" w:rsidRDefault="001D2FAA" w:rsidP="00821D1B">
      <w:pPr>
        <w:outlineLvl w:val="1"/>
        <w:rPr>
          <w:rFonts w:eastAsia="Times New Roman" w:cstheme="minorHAnsi"/>
          <w:b/>
          <w:bCs/>
        </w:rPr>
      </w:pPr>
      <w:r w:rsidRPr="00D11FC4">
        <w:rPr>
          <w:rFonts w:eastAsia="Times New Roman" w:cstheme="minorHAnsi"/>
          <w:b/>
          <w:bCs/>
        </w:rPr>
        <w:t>Non-Gynecologic:</w:t>
      </w:r>
      <w:r w:rsidR="00052628" w:rsidRPr="00D11FC4">
        <w:rPr>
          <w:rFonts w:eastAsia="Times New Roman" w:cstheme="minorHAnsi"/>
          <w:b/>
          <w:bCs/>
        </w:rPr>
        <w:t xml:space="preserve"> </w:t>
      </w:r>
      <w:r w:rsidR="00052628" w:rsidRPr="00D11FC4">
        <w:rPr>
          <w:rFonts w:eastAsia="Times New Roman" w:cstheme="minorHAnsi"/>
          <w:i/>
          <w:iCs/>
        </w:rPr>
        <w:t>Ask your learners to list what broad categories of non-gynecologic comorbidities associated with PCOS.</w:t>
      </w:r>
      <w:r w:rsidR="00052628" w:rsidRPr="00D11FC4">
        <w:rPr>
          <w:rFonts w:eastAsia="Times New Roman" w:cstheme="minorHAnsi"/>
          <w:b/>
          <w:bCs/>
          <w:i/>
          <w:iCs/>
        </w:rPr>
        <w:t xml:space="preserve"> </w:t>
      </w:r>
      <w:r w:rsidR="00052628" w:rsidRPr="00D11FC4">
        <w:rPr>
          <w:rFonts w:eastAsia="Times New Roman" w:cstheme="minorHAnsi"/>
          <w:i/>
          <w:iCs/>
        </w:rPr>
        <w:t>Click to reveal different organ systems that are affected (brain, hair, cardiac, and pancreas). Click on each of these organ system icons to reveal additional information about the risk factors. Click on “Management” buttons to reveal management and screening options.</w:t>
      </w:r>
    </w:p>
    <w:p w14:paraId="288D79AF" w14:textId="656C57CB" w:rsidR="00821D1B" w:rsidRPr="00D11FC4" w:rsidRDefault="001A1B83" w:rsidP="00821D1B">
      <w:pPr>
        <w:pStyle w:val="ListParagraph"/>
        <w:numPr>
          <w:ilvl w:val="0"/>
          <w:numId w:val="19"/>
        </w:numPr>
      </w:pPr>
      <w:r w:rsidRPr="00D11FC4">
        <w:rPr>
          <w:rFonts w:eastAsia="Times New Roman" w:cstheme="minorHAnsi"/>
          <w:u w:val="single"/>
        </w:rPr>
        <w:t>Mood disorders</w:t>
      </w:r>
      <w:r w:rsidR="00052628" w:rsidRPr="00D11FC4">
        <w:rPr>
          <w:rFonts w:eastAsia="Times New Roman" w:cstheme="minorHAnsi"/>
          <w:u w:val="single"/>
        </w:rPr>
        <w:t xml:space="preserve"> (Brain)</w:t>
      </w:r>
      <w:r w:rsidRPr="00D11FC4">
        <w:rPr>
          <w:rFonts w:eastAsia="Times New Roman" w:cstheme="minorHAnsi"/>
          <w:u w:val="single"/>
        </w:rPr>
        <w:t>:</w:t>
      </w:r>
      <w:r w:rsidRPr="00D11FC4">
        <w:rPr>
          <w:rFonts w:eastAsia="Times New Roman" w:cstheme="minorHAnsi"/>
        </w:rPr>
        <w:t xml:space="preserve"> PCOS is independently associated with multiple psychiatric conditions including depression, anxiety, and eating disorders, especially binge eating disorder.</w:t>
      </w:r>
      <w:r w:rsidR="00644359" w:rsidRPr="00D11FC4">
        <w:rPr>
          <w:rFonts w:eastAsia="Times New Roman" w:cstheme="minorHAnsi"/>
          <w:vertAlign w:val="superscript"/>
        </w:rPr>
        <w:t>2</w:t>
      </w:r>
      <w:r w:rsidRPr="00D11FC4">
        <w:rPr>
          <w:rFonts w:eastAsia="Times New Roman" w:cstheme="minorHAnsi"/>
        </w:rPr>
        <w:t xml:space="preserve"> </w:t>
      </w:r>
      <w:r w:rsidR="00052628" w:rsidRPr="00D11FC4">
        <w:rPr>
          <w:rFonts w:eastAsia="Times New Roman" w:cstheme="minorHAnsi"/>
        </w:rPr>
        <w:t>E</w:t>
      </w:r>
      <w:r w:rsidRPr="00D11FC4">
        <w:rPr>
          <w:rFonts w:eastAsia="Times New Roman" w:cstheme="minorHAnsi"/>
        </w:rPr>
        <w:t>ven when controlling for weight, hirsutism, and infertility</w:t>
      </w:r>
      <w:r w:rsidR="00052628" w:rsidRPr="00D11FC4">
        <w:rPr>
          <w:rFonts w:eastAsia="Times New Roman" w:cstheme="minorHAnsi"/>
        </w:rPr>
        <w:t xml:space="preserve">, </w:t>
      </w:r>
      <w:r w:rsidRPr="00D11FC4">
        <w:t xml:space="preserve">PCOS still confers an increased risk of a concurrent mood disorder. </w:t>
      </w:r>
    </w:p>
    <w:p w14:paraId="70662B2B" w14:textId="77777777" w:rsidR="00821D1B" w:rsidRPr="00D11FC4" w:rsidRDefault="00052628" w:rsidP="00821D1B">
      <w:pPr>
        <w:pStyle w:val="ListParagraph"/>
        <w:numPr>
          <w:ilvl w:val="1"/>
          <w:numId w:val="19"/>
        </w:numPr>
      </w:pPr>
      <w:r w:rsidRPr="00D11FC4">
        <w:rPr>
          <w:rFonts w:eastAsia="Times New Roman" w:cstheme="minorHAnsi"/>
          <w:i/>
          <w:iCs/>
        </w:rPr>
        <w:t>Management</w:t>
      </w:r>
      <w:r w:rsidRPr="00D11FC4">
        <w:rPr>
          <w:rFonts w:eastAsia="Times New Roman" w:cstheme="minorHAnsi"/>
        </w:rPr>
        <w:t xml:space="preserve">: </w:t>
      </w:r>
      <w:r w:rsidR="001A1B83" w:rsidRPr="00D11FC4">
        <w:rPr>
          <w:rFonts w:eastAsia="Times New Roman" w:cstheme="minorHAnsi"/>
        </w:rPr>
        <w:t>Patients should be screened normally with a PHQ9 and a GAD7. All patients with PCOS should also be asked about disordered eating habits, then referred accordingly.</w:t>
      </w:r>
    </w:p>
    <w:p w14:paraId="4FD32B02" w14:textId="02BC02FE" w:rsidR="00821D1B" w:rsidRPr="00D11FC4" w:rsidRDefault="001A1B83" w:rsidP="00821D1B">
      <w:pPr>
        <w:pStyle w:val="ListParagraph"/>
        <w:numPr>
          <w:ilvl w:val="0"/>
          <w:numId w:val="19"/>
        </w:numPr>
      </w:pPr>
      <w:r w:rsidRPr="00D11FC4">
        <w:rPr>
          <w:rFonts w:eastAsia="Times New Roman" w:cstheme="minorHAnsi"/>
          <w:u w:val="single"/>
        </w:rPr>
        <w:t>Hyperandrogenism</w:t>
      </w:r>
      <w:r w:rsidR="00052628" w:rsidRPr="00D11FC4">
        <w:rPr>
          <w:rFonts w:eastAsia="Times New Roman" w:cstheme="minorHAnsi"/>
          <w:u w:val="single"/>
        </w:rPr>
        <w:t xml:space="preserve"> (Chin hairs)</w:t>
      </w:r>
      <w:r w:rsidRPr="00D11FC4">
        <w:rPr>
          <w:rFonts w:eastAsia="Times New Roman" w:cstheme="minorHAnsi"/>
          <w:u w:val="single"/>
        </w:rPr>
        <w:t>:</w:t>
      </w:r>
      <w:r w:rsidRPr="00D11FC4">
        <w:rPr>
          <w:rFonts w:eastAsia="Times New Roman" w:cstheme="minorHAnsi"/>
        </w:rPr>
        <w:t xml:space="preserve"> </w:t>
      </w:r>
    </w:p>
    <w:p w14:paraId="6AA24732" w14:textId="3846659D" w:rsidR="00EE43B9" w:rsidRPr="00D11FC4" w:rsidRDefault="00052628" w:rsidP="00EE43B9">
      <w:pPr>
        <w:pStyle w:val="ListParagraph"/>
        <w:numPr>
          <w:ilvl w:val="1"/>
          <w:numId w:val="19"/>
        </w:numPr>
      </w:pPr>
      <w:r w:rsidRPr="00D11FC4">
        <w:rPr>
          <w:rFonts w:eastAsia="Times New Roman" w:cstheme="minorHAnsi"/>
          <w:i/>
          <w:iCs/>
        </w:rPr>
        <w:t xml:space="preserve">Management: </w:t>
      </w:r>
      <w:r w:rsidR="00EE43B9" w:rsidRPr="00D11FC4">
        <w:rPr>
          <w:rFonts w:eastAsia="Times New Roman" w:cstheme="minorHAnsi"/>
        </w:rPr>
        <w:t xml:space="preserve">Treatment of hyperandrogenism requires controlling levels of circulating androgens. </w:t>
      </w:r>
      <w:r w:rsidR="00393F77" w:rsidRPr="00D11FC4">
        <w:rPr>
          <w:rFonts w:eastAsia="Times New Roman" w:cstheme="minorHAnsi"/>
        </w:rPr>
        <w:t xml:space="preserve">Treatment of choice for hirsutism is </w:t>
      </w:r>
      <w:r w:rsidR="00EA1EA6" w:rsidRPr="00D11FC4">
        <w:rPr>
          <w:rFonts w:eastAsia="Times New Roman" w:cstheme="minorHAnsi"/>
        </w:rPr>
        <w:t xml:space="preserve">combined </w:t>
      </w:r>
      <w:r w:rsidR="00393F77" w:rsidRPr="00D11FC4">
        <w:rPr>
          <w:rFonts w:eastAsia="Times New Roman" w:cstheme="minorHAnsi"/>
        </w:rPr>
        <w:t>oral contraceptive pills (OCPs) and/or spironolactone.</w:t>
      </w:r>
      <w:r w:rsidR="00DB6B34" w:rsidRPr="00D11FC4">
        <w:rPr>
          <w:rFonts w:eastAsia="Times New Roman" w:cstheme="minorHAnsi"/>
          <w:vertAlign w:val="superscript"/>
        </w:rPr>
        <w:t>2</w:t>
      </w:r>
    </w:p>
    <w:p w14:paraId="7EB409E5" w14:textId="469205A2" w:rsidR="00821D1B" w:rsidRPr="00D11FC4" w:rsidRDefault="00393F77" w:rsidP="00EE43B9">
      <w:pPr>
        <w:pStyle w:val="ListParagraph"/>
        <w:numPr>
          <w:ilvl w:val="2"/>
          <w:numId w:val="19"/>
        </w:numPr>
      </w:pPr>
      <w:r w:rsidRPr="00D11FC4">
        <w:rPr>
          <w:rFonts w:eastAsia="Times New Roman" w:cstheme="minorHAnsi"/>
          <w:i/>
          <w:iCs/>
        </w:rPr>
        <w:t>OCPs:</w:t>
      </w:r>
      <w:r w:rsidRPr="00D11FC4">
        <w:rPr>
          <w:rFonts w:eastAsia="Times New Roman" w:cstheme="minorHAnsi"/>
        </w:rPr>
        <w:t xml:space="preserve"> </w:t>
      </w:r>
      <w:r w:rsidR="001A1B83" w:rsidRPr="00D11FC4">
        <w:rPr>
          <w:rFonts w:eastAsia="Times New Roman" w:cstheme="minorHAnsi"/>
        </w:rPr>
        <w:t xml:space="preserve">Although no </w:t>
      </w:r>
      <w:r w:rsidR="00052628" w:rsidRPr="00D11FC4">
        <w:rPr>
          <w:rFonts w:eastAsia="Times New Roman" w:cstheme="minorHAnsi"/>
        </w:rPr>
        <w:t>oral contraceptive pill</w:t>
      </w:r>
      <w:r w:rsidR="001A1B83" w:rsidRPr="00D11FC4">
        <w:rPr>
          <w:rFonts w:eastAsia="Times New Roman" w:cstheme="minorHAnsi"/>
        </w:rPr>
        <w:t xml:space="preserve"> is FDA approved specifically to treat hirsutism, </w:t>
      </w:r>
      <w:r w:rsidR="00EA1EA6" w:rsidRPr="00D11FC4">
        <w:rPr>
          <w:rFonts w:eastAsia="Times New Roman" w:cstheme="minorHAnsi"/>
        </w:rPr>
        <w:t xml:space="preserve">they work by lowering androgens via suppression of ovarian androgen production and </w:t>
      </w:r>
      <w:r w:rsidR="00EA1EA6" w:rsidRPr="00D11FC4">
        <w:rPr>
          <w:rFonts w:eastAsia="Times New Roman" w:cstheme="minorHAnsi"/>
        </w:rPr>
        <w:lastRenderedPageBreak/>
        <w:t xml:space="preserve">increasing </w:t>
      </w:r>
      <w:r w:rsidR="00DF0B37">
        <w:rPr>
          <w:rFonts w:eastAsia="Times New Roman" w:cstheme="minorHAnsi"/>
        </w:rPr>
        <w:t>sex hormone binding globulin (</w:t>
      </w:r>
      <w:r w:rsidR="00EA1EA6" w:rsidRPr="00D11FC4">
        <w:rPr>
          <w:rFonts w:eastAsia="Times New Roman" w:cstheme="minorHAnsi"/>
        </w:rPr>
        <w:t>SHBG</w:t>
      </w:r>
      <w:r w:rsidR="00DF0B37">
        <w:rPr>
          <w:rFonts w:eastAsia="Times New Roman" w:cstheme="minorHAnsi"/>
        </w:rPr>
        <w:t>)</w:t>
      </w:r>
      <w:r w:rsidR="001A1B83" w:rsidRPr="00D11FC4">
        <w:rPr>
          <w:rFonts w:eastAsia="Times New Roman" w:cstheme="minorHAnsi"/>
        </w:rPr>
        <w:t xml:space="preserve">. </w:t>
      </w:r>
      <w:r w:rsidR="00EA1EA6" w:rsidRPr="00D11FC4">
        <w:rPr>
          <w:rFonts w:eastAsia="Times New Roman" w:cstheme="minorHAnsi"/>
        </w:rPr>
        <w:t xml:space="preserve">They are first line for treatment of hyperandrogenism. Combination pills include ethinyl estradiol and a </w:t>
      </w:r>
      <w:r w:rsidR="00644359" w:rsidRPr="00D11FC4">
        <w:rPr>
          <w:rFonts w:eastAsia="Times New Roman" w:cstheme="minorHAnsi"/>
        </w:rPr>
        <w:t>progestin</w:t>
      </w:r>
      <w:r w:rsidR="00EA1EA6" w:rsidRPr="00D11FC4">
        <w:rPr>
          <w:rFonts w:eastAsia="Times New Roman" w:cstheme="minorHAnsi"/>
        </w:rPr>
        <w:t xml:space="preserve">. </w:t>
      </w:r>
      <w:r w:rsidRPr="00D11FC4">
        <w:rPr>
          <w:rFonts w:eastAsia="Times New Roman" w:cstheme="minorHAnsi"/>
        </w:rPr>
        <w:t>Third and fourth generation progestins (e.g., norgestimate, desogestrel, an</w:t>
      </w:r>
      <w:r w:rsidR="00526EE2" w:rsidRPr="00D11FC4">
        <w:rPr>
          <w:rFonts w:eastAsia="Times New Roman" w:cstheme="minorHAnsi"/>
        </w:rPr>
        <w:t>d</w:t>
      </w:r>
      <w:r w:rsidRPr="00D11FC4">
        <w:rPr>
          <w:rFonts w:eastAsia="Times New Roman" w:cstheme="minorHAnsi"/>
        </w:rPr>
        <w:t xml:space="preserve"> drospirenone) are less androgenic and </w:t>
      </w:r>
      <w:r w:rsidR="00EA1EA6" w:rsidRPr="00D11FC4">
        <w:rPr>
          <w:rFonts w:eastAsia="Times New Roman" w:cstheme="minorHAnsi"/>
        </w:rPr>
        <w:t xml:space="preserve">have </w:t>
      </w:r>
      <w:r w:rsidRPr="00D11FC4">
        <w:rPr>
          <w:rFonts w:eastAsia="Times New Roman" w:cstheme="minorHAnsi"/>
        </w:rPr>
        <w:t>fewer metabolic side effects. However, these benefits need to be weighed against a potential increase in risk of venous thromboembolism</w:t>
      </w:r>
      <w:r w:rsidR="00EB75DF" w:rsidRPr="00D11FC4">
        <w:rPr>
          <w:rFonts w:eastAsia="Times New Roman" w:cstheme="minorHAnsi"/>
        </w:rPr>
        <w:t xml:space="preserve"> especially in patients</w:t>
      </w:r>
      <w:r w:rsidR="00EB7CDD">
        <w:rPr>
          <w:rFonts w:eastAsia="Times New Roman" w:cstheme="minorHAnsi"/>
        </w:rPr>
        <w:t xml:space="preserve"> with other risk factors for thromboembolism</w:t>
      </w:r>
      <w:r w:rsidRPr="00D11FC4">
        <w:rPr>
          <w:rFonts w:eastAsia="Times New Roman" w:cstheme="minorHAnsi"/>
        </w:rPr>
        <w:t>.</w:t>
      </w:r>
      <w:r w:rsidR="00DB6B34" w:rsidRPr="00D11FC4">
        <w:rPr>
          <w:rFonts w:eastAsia="Times New Roman" w:cstheme="minorHAnsi"/>
          <w:vertAlign w:val="superscript"/>
        </w:rPr>
        <w:t>2</w:t>
      </w:r>
      <w:r w:rsidR="00EB75DF" w:rsidRPr="00D11FC4">
        <w:rPr>
          <w:rFonts w:eastAsia="Times New Roman" w:cstheme="minorHAnsi"/>
          <w:vertAlign w:val="superscript"/>
        </w:rPr>
        <w:t>,4</w:t>
      </w:r>
    </w:p>
    <w:p w14:paraId="3A545DDA" w14:textId="2FBDE216" w:rsidR="00393F77" w:rsidRPr="00D11FC4" w:rsidRDefault="00393F77" w:rsidP="00393F77">
      <w:pPr>
        <w:pStyle w:val="ListParagraph"/>
        <w:numPr>
          <w:ilvl w:val="2"/>
          <w:numId w:val="19"/>
        </w:numPr>
      </w:pPr>
      <w:r w:rsidRPr="00D11FC4">
        <w:rPr>
          <w:rFonts w:eastAsia="Times New Roman" w:cstheme="minorHAnsi"/>
          <w:i/>
          <w:iCs/>
        </w:rPr>
        <w:t>Anti-androgens:</w:t>
      </w:r>
      <w:r w:rsidRPr="00D11FC4">
        <w:rPr>
          <w:rFonts w:eastAsia="Times New Roman" w:cstheme="minorHAnsi"/>
        </w:rPr>
        <w:t xml:space="preserve"> </w:t>
      </w:r>
      <w:r w:rsidR="001A1B83" w:rsidRPr="00D11FC4">
        <w:rPr>
          <w:rFonts w:eastAsia="Times New Roman" w:cstheme="minorHAnsi"/>
        </w:rPr>
        <w:t xml:space="preserve">There may be an additional benefit when </w:t>
      </w:r>
      <w:r w:rsidRPr="00D11FC4">
        <w:rPr>
          <w:rFonts w:eastAsia="Times New Roman" w:cstheme="minorHAnsi"/>
        </w:rPr>
        <w:t xml:space="preserve">OCPs are </w:t>
      </w:r>
      <w:r w:rsidR="001A1B83" w:rsidRPr="00D11FC4">
        <w:rPr>
          <w:rFonts w:eastAsia="Times New Roman" w:cstheme="minorHAnsi"/>
        </w:rPr>
        <w:t xml:space="preserve">prescribed with </w:t>
      </w:r>
      <w:r w:rsidR="00EB75DF" w:rsidRPr="00D11FC4">
        <w:rPr>
          <w:rFonts w:eastAsia="Times New Roman" w:cstheme="minorHAnsi"/>
        </w:rPr>
        <w:t>anti-androgens. S</w:t>
      </w:r>
      <w:r w:rsidR="001A1B83" w:rsidRPr="00D11FC4">
        <w:rPr>
          <w:rFonts w:eastAsia="Times New Roman" w:cstheme="minorHAnsi"/>
        </w:rPr>
        <w:t>pironolactone</w:t>
      </w:r>
      <w:r w:rsidR="00EB75DF" w:rsidRPr="00D11FC4">
        <w:rPr>
          <w:rFonts w:eastAsia="Times New Roman" w:cstheme="minorHAnsi"/>
        </w:rPr>
        <w:t xml:space="preserve"> is the </w:t>
      </w:r>
      <w:r w:rsidR="00F7109A" w:rsidRPr="00D11FC4">
        <w:rPr>
          <w:rFonts w:eastAsia="Times New Roman" w:cstheme="minorHAnsi"/>
        </w:rPr>
        <w:t>most used</w:t>
      </w:r>
      <w:r w:rsidR="00EB75DF" w:rsidRPr="00D11FC4">
        <w:rPr>
          <w:rFonts w:eastAsia="Times New Roman" w:cstheme="minorHAnsi"/>
        </w:rPr>
        <w:t xml:space="preserve"> anti-androgen and works by</w:t>
      </w:r>
      <w:r w:rsidR="001A1B83" w:rsidRPr="00D11FC4">
        <w:rPr>
          <w:rFonts w:eastAsia="Times New Roman" w:cstheme="minorHAnsi"/>
        </w:rPr>
        <w:t xml:space="preserve"> bind</w:t>
      </w:r>
      <w:r w:rsidR="00EB75DF" w:rsidRPr="00D11FC4">
        <w:rPr>
          <w:rFonts w:eastAsia="Times New Roman" w:cstheme="minorHAnsi"/>
        </w:rPr>
        <w:t>ing</w:t>
      </w:r>
      <w:r w:rsidR="001A1B83" w:rsidRPr="00D11FC4">
        <w:rPr>
          <w:rFonts w:eastAsia="Times New Roman" w:cstheme="minorHAnsi"/>
        </w:rPr>
        <w:t xml:space="preserve"> the androgen receptor, inhibit</w:t>
      </w:r>
      <w:r w:rsidR="00EB75DF" w:rsidRPr="00D11FC4">
        <w:rPr>
          <w:rFonts w:eastAsia="Times New Roman" w:cstheme="minorHAnsi"/>
        </w:rPr>
        <w:t>ing</w:t>
      </w:r>
      <w:r w:rsidR="001A1B83" w:rsidRPr="00D11FC4">
        <w:rPr>
          <w:rFonts w:eastAsia="Times New Roman" w:cstheme="minorHAnsi"/>
        </w:rPr>
        <w:t xml:space="preserve"> ovarian and adrenal steroid creation, compet</w:t>
      </w:r>
      <w:r w:rsidR="00EB75DF" w:rsidRPr="00D11FC4">
        <w:rPr>
          <w:rFonts w:eastAsia="Times New Roman" w:cstheme="minorHAnsi"/>
        </w:rPr>
        <w:t>ing</w:t>
      </w:r>
      <w:r w:rsidR="001A1B83" w:rsidRPr="00D11FC4">
        <w:rPr>
          <w:rFonts w:eastAsia="Times New Roman" w:cstheme="minorHAnsi"/>
        </w:rPr>
        <w:t xml:space="preserve"> for androgen receptors in hair follicles, and inhibit</w:t>
      </w:r>
      <w:r w:rsidR="00EB75DF" w:rsidRPr="00D11FC4">
        <w:rPr>
          <w:rFonts w:eastAsia="Times New Roman" w:cstheme="minorHAnsi"/>
        </w:rPr>
        <w:t>ing</w:t>
      </w:r>
      <w:r w:rsidR="001A1B83" w:rsidRPr="00D11FC4">
        <w:rPr>
          <w:rFonts w:eastAsia="Times New Roman" w:cstheme="minorHAnsi"/>
        </w:rPr>
        <w:t xml:space="preserve"> 5</w:t>
      </w:r>
      <w:r w:rsidR="00F5097F" w:rsidRPr="00D11FC4">
        <w:rPr>
          <w:rFonts w:eastAsia="Times New Roman" w:cstheme="minorHAnsi"/>
        </w:rPr>
        <w:t>α</w:t>
      </w:r>
      <w:r w:rsidR="001A1B83" w:rsidRPr="00D11FC4">
        <w:rPr>
          <w:rFonts w:eastAsia="Times New Roman" w:cstheme="minorHAnsi"/>
        </w:rPr>
        <w:t xml:space="preserve"> reductase activity, decreasing terminal hair growth.</w:t>
      </w:r>
      <w:r w:rsidRPr="00D11FC4">
        <w:rPr>
          <w:rFonts w:eastAsia="Times New Roman" w:cstheme="minorHAnsi"/>
        </w:rPr>
        <w:t xml:space="preserve"> It is typically started at 50 mg daily but can be titrated up to 100 mg BID. All anti-androgens are teratogenic, so women on these medications should be using another form of contraception.</w:t>
      </w:r>
      <w:r w:rsidR="00DB6B34" w:rsidRPr="00D11FC4">
        <w:rPr>
          <w:rFonts w:eastAsia="Times New Roman" w:cstheme="minorHAnsi"/>
          <w:vertAlign w:val="superscript"/>
        </w:rPr>
        <w:t>2</w:t>
      </w:r>
    </w:p>
    <w:p w14:paraId="574B983A" w14:textId="1F57AABA" w:rsidR="00821D1B" w:rsidRPr="00D11FC4" w:rsidRDefault="00393F77" w:rsidP="00821D1B">
      <w:pPr>
        <w:pStyle w:val="ListParagraph"/>
        <w:numPr>
          <w:ilvl w:val="2"/>
          <w:numId w:val="19"/>
        </w:numPr>
      </w:pPr>
      <w:r w:rsidRPr="00D11FC4">
        <w:rPr>
          <w:rFonts w:eastAsia="Times New Roman" w:cstheme="minorHAnsi"/>
          <w:i/>
          <w:iCs/>
        </w:rPr>
        <w:t>Cosmetic:</w:t>
      </w:r>
      <w:r w:rsidRPr="00D11FC4">
        <w:rPr>
          <w:rFonts w:eastAsia="Times New Roman" w:cstheme="minorHAnsi"/>
        </w:rPr>
        <w:t xml:space="preserve"> </w:t>
      </w:r>
      <w:r w:rsidR="001A1B83" w:rsidRPr="00D11FC4">
        <w:rPr>
          <w:rFonts w:eastAsia="Times New Roman" w:cstheme="minorHAnsi"/>
        </w:rPr>
        <w:t xml:space="preserve">Another treatment option is cosmetic, like laser hair removal. </w:t>
      </w:r>
    </w:p>
    <w:p w14:paraId="41DFE695" w14:textId="2206431D" w:rsidR="00821D1B" w:rsidRPr="00D11FC4" w:rsidRDefault="001A1B83" w:rsidP="00E42EE5">
      <w:pPr>
        <w:pStyle w:val="ListParagraph"/>
        <w:numPr>
          <w:ilvl w:val="0"/>
          <w:numId w:val="19"/>
        </w:numPr>
      </w:pPr>
      <w:r w:rsidRPr="00D11FC4">
        <w:rPr>
          <w:u w:val="single"/>
        </w:rPr>
        <w:t>Cardiovascular</w:t>
      </w:r>
      <w:r w:rsidR="00F5097F" w:rsidRPr="00D11FC4">
        <w:rPr>
          <w:u w:val="single"/>
        </w:rPr>
        <w:t xml:space="preserve"> (CV)</w:t>
      </w:r>
      <w:r w:rsidRPr="00D11FC4">
        <w:rPr>
          <w:u w:val="single"/>
        </w:rPr>
        <w:t xml:space="preserve"> risk</w:t>
      </w:r>
      <w:r w:rsidR="00F5097F" w:rsidRPr="00D11FC4">
        <w:rPr>
          <w:u w:val="single"/>
        </w:rPr>
        <w:t xml:space="preserve"> (Heart)</w:t>
      </w:r>
      <w:r w:rsidRPr="00D11FC4">
        <w:rPr>
          <w:u w:val="single"/>
        </w:rPr>
        <w:t>:</w:t>
      </w:r>
      <w:r w:rsidRPr="00D11FC4">
        <w:t xml:space="preserve"> </w:t>
      </w:r>
      <w:r w:rsidR="00413ECF" w:rsidRPr="00D11FC4">
        <w:t>PCOS is associated with lower HDL and higher LDL levels compared to BMI and age matched controls. However, the cardiovascular implications of this is not clear</w:t>
      </w:r>
      <w:r w:rsidRPr="00D11FC4">
        <w:t>.</w:t>
      </w:r>
      <w:r w:rsidR="002D69E5" w:rsidRPr="00D11FC4">
        <w:rPr>
          <w:vertAlign w:val="superscript"/>
        </w:rPr>
        <w:t>5</w:t>
      </w:r>
      <w:r w:rsidRPr="00D11FC4">
        <w:t xml:space="preserve"> </w:t>
      </w:r>
      <w:r w:rsidR="002D69E5" w:rsidRPr="00D11FC4">
        <w:t xml:space="preserve">There are conflicting studies about whether PCOS is associated with increased </w:t>
      </w:r>
      <w:r w:rsidR="00644359" w:rsidRPr="00D11FC4">
        <w:t>CV</w:t>
      </w:r>
      <w:r w:rsidR="00413ECF" w:rsidRPr="00D11FC4">
        <w:t xml:space="preserve"> events and</w:t>
      </w:r>
      <w:r w:rsidR="002D69E5" w:rsidRPr="00D11FC4">
        <w:t xml:space="preserve"> mortality.</w:t>
      </w:r>
      <w:r w:rsidR="002D69E5" w:rsidRPr="00D11FC4">
        <w:rPr>
          <w:vertAlign w:val="superscript"/>
        </w:rPr>
        <w:t>5</w:t>
      </w:r>
      <w:r w:rsidRPr="00D11FC4">
        <w:t xml:space="preserve"> </w:t>
      </w:r>
      <w:r w:rsidR="00413ECF" w:rsidRPr="00D11FC4">
        <w:t>T</w:t>
      </w:r>
      <w:r w:rsidRPr="00D11FC4">
        <w:t>here is some evidence that increasing degree of oligomenorrhea is associated with both non-fatal an</w:t>
      </w:r>
      <w:r w:rsidR="00F5097F" w:rsidRPr="00D11FC4">
        <w:t xml:space="preserve">d </w:t>
      </w:r>
      <w:r w:rsidRPr="00D11FC4">
        <w:t xml:space="preserve">fatal </w:t>
      </w:r>
      <w:r w:rsidR="00644359" w:rsidRPr="00D11FC4">
        <w:t>CV</w:t>
      </w:r>
      <w:r w:rsidRPr="00D11FC4">
        <w:t xml:space="preserve"> events.</w:t>
      </w:r>
      <w:r w:rsidR="00E42EE5" w:rsidRPr="00D11FC4">
        <w:rPr>
          <w:rFonts w:eastAsia="Times New Roman" w:cstheme="minorHAnsi"/>
        </w:rPr>
        <w:t xml:space="preserve"> </w:t>
      </w:r>
    </w:p>
    <w:p w14:paraId="51416787" w14:textId="7CBEB903" w:rsidR="00821D1B" w:rsidRPr="00D11FC4" w:rsidRDefault="00821D1B" w:rsidP="00E42EE5">
      <w:pPr>
        <w:pStyle w:val="ListParagraph"/>
        <w:numPr>
          <w:ilvl w:val="1"/>
          <w:numId w:val="19"/>
        </w:numPr>
      </w:pPr>
      <w:r w:rsidRPr="00D11FC4">
        <w:rPr>
          <w:rFonts w:eastAsia="Times New Roman" w:cstheme="minorHAnsi"/>
          <w:i/>
          <w:iCs/>
        </w:rPr>
        <w:t xml:space="preserve">Management: </w:t>
      </w:r>
      <w:r w:rsidR="001A1B83" w:rsidRPr="00D11FC4">
        <w:t>Screen all patients with PCOS</w:t>
      </w:r>
      <w:r w:rsidR="0011447F" w:rsidRPr="00D11FC4">
        <w:t xml:space="preserve"> for hypertension and</w:t>
      </w:r>
      <w:r w:rsidR="001A1B83" w:rsidRPr="00D11FC4">
        <w:t xml:space="preserve"> with a fasting lipid </w:t>
      </w:r>
      <w:r w:rsidR="00E42EE5" w:rsidRPr="00D11FC4">
        <w:t xml:space="preserve">panel </w:t>
      </w:r>
      <w:r w:rsidR="001A1B83" w:rsidRPr="00D11FC4">
        <w:t>to assess cardiovascular risk.</w:t>
      </w:r>
      <w:r w:rsidR="001B06A5" w:rsidRPr="00D11FC4">
        <w:t xml:space="preserve"> Statins should be started based on calculated cardiovascular risk.</w:t>
      </w:r>
      <w:r w:rsidR="00EB7CDD">
        <w:rPr>
          <w:vertAlign w:val="superscript"/>
        </w:rPr>
        <w:t>7</w:t>
      </w:r>
    </w:p>
    <w:p w14:paraId="01A57FE0" w14:textId="3060EC3B" w:rsidR="00821D1B" w:rsidRPr="00D11FC4" w:rsidRDefault="00A56061" w:rsidP="00821D1B">
      <w:pPr>
        <w:pStyle w:val="ListParagraph"/>
        <w:numPr>
          <w:ilvl w:val="0"/>
          <w:numId w:val="19"/>
        </w:numPr>
      </w:pPr>
      <w:r w:rsidRPr="00D11FC4">
        <w:rPr>
          <w:rFonts w:eastAsia="Times New Roman" w:cstheme="minorHAnsi"/>
          <w:u w:val="single"/>
        </w:rPr>
        <w:t>Insulin resistance</w:t>
      </w:r>
      <w:r w:rsidR="00F5097F" w:rsidRPr="00D11FC4">
        <w:rPr>
          <w:rFonts w:eastAsia="Times New Roman" w:cstheme="minorHAnsi"/>
          <w:u w:val="single"/>
        </w:rPr>
        <w:t xml:space="preserve"> (</w:t>
      </w:r>
      <w:r w:rsidR="00F5097F" w:rsidRPr="00D11FC4">
        <w:rPr>
          <w:rFonts w:eastAsia="Times New Roman" w:cstheme="minorHAnsi"/>
          <w:i/>
          <w:iCs/>
          <w:u w:val="single"/>
        </w:rPr>
        <w:t>Pancreas</w:t>
      </w:r>
      <w:r w:rsidR="00F5097F" w:rsidRPr="00D11FC4">
        <w:rPr>
          <w:rFonts w:eastAsia="Times New Roman" w:cstheme="minorHAnsi"/>
          <w:u w:val="single"/>
        </w:rPr>
        <w:t>)</w:t>
      </w:r>
      <w:r w:rsidRPr="00D11FC4">
        <w:rPr>
          <w:rFonts w:eastAsia="Times New Roman" w:cstheme="minorHAnsi"/>
          <w:u w:val="single"/>
        </w:rPr>
        <w:t>:</w:t>
      </w:r>
      <w:r w:rsidRPr="00D11FC4">
        <w:rPr>
          <w:rFonts w:eastAsia="Times New Roman" w:cstheme="minorHAnsi"/>
        </w:rPr>
        <w:t xml:space="preserve"> </w:t>
      </w:r>
      <w:r w:rsidR="00413ECF" w:rsidRPr="00D11FC4">
        <w:rPr>
          <w:rFonts w:eastAsia="Times New Roman" w:cstheme="minorHAnsi"/>
        </w:rPr>
        <w:t>Insulin resistance is thought to play a critical role in the pathogenesis of PCOS.</w:t>
      </w:r>
      <w:r w:rsidRPr="00D11FC4">
        <w:rPr>
          <w:rFonts w:eastAsia="Times New Roman" w:cstheme="minorHAnsi"/>
        </w:rPr>
        <w:t xml:space="preserve"> Insulin resistance is present regardless of weight compared to age-matched controls</w:t>
      </w:r>
      <w:r w:rsidR="00413ECF" w:rsidRPr="00D11FC4">
        <w:rPr>
          <w:rFonts w:eastAsia="Times New Roman" w:cstheme="minorHAnsi"/>
        </w:rPr>
        <w:t xml:space="preserve">. </w:t>
      </w:r>
      <w:r w:rsidRPr="00D11FC4">
        <w:rPr>
          <w:rFonts w:cstheme="minorHAnsi"/>
        </w:rPr>
        <w:t xml:space="preserve">This </w:t>
      </w:r>
      <w:r w:rsidRPr="00D11FC4">
        <w:rPr>
          <w:rFonts w:eastAsia="Times New Roman" w:cstheme="minorHAnsi"/>
        </w:rPr>
        <w:t>is thought to be in addition and unrelated to the elevated androgen levels.</w:t>
      </w:r>
      <w:r w:rsidR="00473B76" w:rsidRPr="00D11FC4">
        <w:rPr>
          <w:rFonts w:eastAsia="Times New Roman" w:cstheme="minorHAnsi"/>
          <w:vertAlign w:val="superscript"/>
        </w:rPr>
        <w:t>5</w:t>
      </w:r>
      <w:r w:rsidRPr="00D11FC4">
        <w:rPr>
          <w:rFonts w:eastAsia="Times New Roman" w:cstheme="minorHAnsi"/>
        </w:rPr>
        <w:t xml:space="preserve"> </w:t>
      </w:r>
      <w:r w:rsidR="00746710" w:rsidRPr="00D11FC4">
        <w:rPr>
          <w:rFonts w:eastAsia="Times New Roman" w:cstheme="minorHAnsi"/>
        </w:rPr>
        <w:t xml:space="preserve">Patients with PCOS are at a far higher risk of </w:t>
      </w:r>
      <w:r w:rsidR="00F535C1" w:rsidRPr="00D11FC4">
        <w:rPr>
          <w:rFonts w:eastAsia="Times New Roman" w:cstheme="minorHAnsi"/>
        </w:rPr>
        <w:t xml:space="preserve">having or developing type 2 DM (T2DM). Patients with PCOS have a </w:t>
      </w:r>
      <w:r w:rsidR="00542F33" w:rsidRPr="00D11FC4">
        <w:rPr>
          <w:rFonts w:eastAsia="Times New Roman" w:cstheme="minorHAnsi"/>
        </w:rPr>
        <w:t>7.5-10x higher prevalence of undiagnosed type 2 diabetes</w:t>
      </w:r>
      <w:r w:rsidR="00526EE2" w:rsidRPr="00D11FC4">
        <w:rPr>
          <w:rFonts w:eastAsia="Times New Roman" w:cstheme="minorHAnsi"/>
        </w:rPr>
        <w:t xml:space="preserve"> </w:t>
      </w:r>
      <w:r w:rsidR="00542F33" w:rsidRPr="00D11FC4">
        <w:rPr>
          <w:rFonts w:eastAsia="Times New Roman" w:cstheme="minorHAnsi"/>
        </w:rPr>
        <w:t>compared to women of similar age.</w:t>
      </w:r>
      <w:r w:rsidR="00C33A5D" w:rsidRPr="00D11FC4">
        <w:rPr>
          <w:rFonts w:eastAsia="Times New Roman" w:cstheme="minorHAnsi"/>
          <w:vertAlign w:val="superscript"/>
        </w:rPr>
        <w:t>2</w:t>
      </w:r>
      <w:r w:rsidR="00746710" w:rsidRPr="00D11FC4">
        <w:rPr>
          <w:rFonts w:eastAsia="Times New Roman" w:cstheme="minorHAnsi"/>
        </w:rPr>
        <w:t xml:space="preserve"> </w:t>
      </w:r>
      <w:r w:rsidR="00F535C1" w:rsidRPr="00D11FC4">
        <w:rPr>
          <w:rFonts w:eastAsia="Times New Roman" w:cstheme="minorHAnsi"/>
        </w:rPr>
        <w:t>Other studies show a 5-15% risk of progression to T2DM within 3 years in patients with normal glucose tolerance.</w:t>
      </w:r>
      <w:r w:rsidR="00F535C1" w:rsidRPr="00D11FC4">
        <w:rPr>
          <w:rFonts w:eastAsia="Times New Roman" w:cstheme="minorHAnsi"/>
          <w:vertAlign w:val="superscript"/>
        </w:rPr>
        <w:t>5</w:t>
      </w:r>
    </w:p>
    <w:p w14:paraId="46A3A6A1" w14:textId="1083EE7D" w:rsidR="0011447F" w:rsidRPr="00D11FC4" w:rsidRDefault="00F5097F" w:rsidP="0011447F">
      <w:pPr>
        <w:pStyle w:val="ListParagraph"/>
        <w:numPr>
          <w:ilvl w:val="1"/>
          <w:numId w:val="19"/>
        </w:numPr>
      </w:pPr>
      <w:r w:rsidRPr="00D11FC4">
        <w:rPr>
          <w:rFonts w:eastAsia="Times New Roman" w:cstheme="minorHAnsi"/>
          <w:i/>
          <w:iCs/>
        </w:rPr>
        <w:t>Management</w:t>
      </w:r>
      <w:r w:rsidRPr="00D11FC4">
        <w:rPr>
          <w:rFonts w:eastAsia="Times New Roman" w:cstheme="minorHAnsi"/>
        </w:rPr>
        <w:t>:</w:t>
      </w:r>
      <w:r w:rsidR="00EE43B9" w:rsidRPr="00D11FC4">
        <w:rPr>
          <w:rFonts w:eastAsia="Times New Roman" w:cstheme="minorHAnsi"/>
        </w:rPr>
        <w:t xml:space="preserve"> </w:t>
      </w:r>
      <w:r w:rsidR="00A56061" w:rsidRPr="00D11FC4">
        <w:rPr>
          <w:rFonts w:eastAsia="Times New Roman" w:cstheme="minorHAnsi"/>
        </w:rPr>
        <w:t xml:space="preserve">To test for insulin resistance, </w:t>
      </w:r>
      <w:r w:rsidR="00D56A67" w:rsidRPr="00D11FC4">
        <w:rPr>
          <w:rFonts w:eastAsia="Times New Roman" w:cstheme="minorHAnsi"/>
        </w:rPr>
        <w:t xml:space="preserve">obtain </w:t>
      </w:r>
      <w:r w:rsidR="00697C34" w:rsidRPr="00D11FC4">
        <w:rPr>
          <w:rFonts w:eastAsia="Times New Roman" w:cstheme="minorHAnsi"/>
        </w:rPr>
        <w:t xml:space="preserve">a 2 h </w:t>
      </w:r>
      <w:r w:rsidR="00A56061" w:rsidRPr="00D11FC4">
        <w:rPr>
          <w:rFonts w:eastAsia="Times New Roman" w:cstheme="minorHAnsi"/>
        </w:rPr>
        <w:t>oral glucose tolerance test</w:t>
      </w:r>
      <w:r w:rsidR="00697C34" w:rsidRPr="00D11FC4">
        <w:rPr>
          <w:rFonts w:eastAsia="Times New Roman" w:cstheme="minorHAnsi"/>
        </w:rPr>
        <w:t xml:space="preserve"> (or fasting blood glucose or HgbA1c)</w:t>
      </w:r>
      <w:r w:rsidR="00A56061" w:rsidRPr="00D11FC4">
        <w:rPr>
          <w:rFonts w:eastAsia="Times New Roman" w:cstheme="minorHAnsi"/>
        </w:rPr>
        <w:t xml:space="preserve">. </w:t>
      </w:r>
      <w:r w:rsidR="00697C34" w:rsidRPr="00D11FC4">
        <w:rPr>
          <w:rFonts w:eastAsia="Times New Roman" w:cstheme="minorHAnsi"/>
        </w:rPr>
        <w:t>Because of the high risk of progression to T2DM, patients should be screened at least every 1-2 years.</w:t>
      </w:r>
      <w:r w:rsidR="00697C34" w:rsidRPr="00D11FC4">
        <w:rPr>
          <w:rFonts w:eastAsia="Times New Roman" w:cstheme="minorHAnsi"/>
          <w:vertAlign w:val="superscript"/>
        </w:rPr>
        <w:t>5</w:t>
      </w:r>
    </w:p>
    <w:p w14:paraId="0F3C4209" w14:textId="77777777" w:rsidR="0011447F" w:rsidRPr="00D11FC4" w:rsidRDefault="0011447F" w:rsidP="0011447F">
      <w:pPr>
        <w:pStyle w:val="ListParagraph"/>
        <w:numPr>
          <w:ilvl w:val="2"/>
          <w:numId w:val="19"/>
        </w:numPr>
      </w:pPr>
      <w:r w:rsidRPr="00D11FC4">
        <w:rPr>
          <w:rFonts w:eastAsia="Times New Roman" w:cstheme="minorHAnsi"/>
        </w:rPr>
        <w:t>The primary treatment is lifestyle modifications (diet and exercise) should also be recommended to patients with impaired glucose tolerance. Even 5 to 10% weight loss can reduce metabolic risk factors.</w:t>
      </w:r>
      <w:r w:rsidRPr="00D11FC4">
        <w:rPr>
          <w:rFonts w:eastAsia="Times New Roman" w:cstheme="minorHAnsi"/>
          <w:vertAlign w:val="superscript"/>
        </w:rPr>
        <w:t>2.5</w:t>
      </w:r>
    </w:p>
    <w:p w14:paraId="655C2D03" w14:textId="1EBCB165" w:rsidR="001D2FAA" w:rsidRPr="00D11FC4" w:rsidRDefault="00A56061" w:rsidP="00697C34">
      <w:pPr>
        <w:pStyle w:val="ListParagraph"/>
        <w:numPr>
          <w:ilvl w:val="2"/>
          <w:numId w:val="19"/>
        </w:numPr>
      </w:pPr>
      <w:r w:rsidRPr="00D11FC4">
        <w:rPr>
          <w:rFonts w:eastAsia="Times New Roman" w:cstheme="minorHAnsi"/>
        </w:rPr>
        <w:t xml:space="preserve">In patients with demonstrated impaired glucose tolerance, </w:t>
      </w:r>
      <w:r w:rsidR="00E42EE5" w:rsidRPr="00D11FC4">
        <w:rPr>
          <w:rFonts w:eastAsia="Times New Roman" w:cstheme="minorHAnsi"/>
        </w:rPr>
        <w:t>s</w:t>
      </w:r>
      <w:r w:rsidR="00D56A67" w:rsidRPr="00D11FC4">
        <w:rPr>
          <w:rFonts w:eastAsia="Times New Roman" w:cstheme="minorHAnsi"/>
        </w:rPr>
        <w:t>tarting an</w:t>
      </w:r>
      <w:r w:rsidRPr="00D11FC4">
        <w:rPr>
          <w:rFonts w:eastAsia="Times New Roman" w:cstheme="minorHAnsi"/>
        </w:rPr>
        <w:t xml:space="preserve"> insulin sensitizer like metformin </w:t>
      </w:r>
      <w:r w:rsidR="00D56A67" w:rsidRPr="00D11FC4">
        <w:rPr>
          <w:rFonts w:eastAsia="Times New Roman" w:cstheme="minorHAnsi"/>
        </w:rPr>
        <w:t>can</w:t>
      </w:r>
      <w:r w:rsidRPr="00D11FC4">
        <w:rPr>
          <w:rFonts w:eastAsia="Times New Roman" w:cstheme="minorHAnsi"/>
        </w:rPr>
        <w:t xml:space="preserve"> help with glucose tolerance and decrease risk of conversion to T2DM. </w:t>
      </w:r>
      <w:r w:rsidR="001B06A5" w:rsidRPr="00D11FC4">
        <w:rPr>
          <w:rFonts w:eastAsia="Times New Roman" w:cstheme="minorHAnsi"/>
        </w:rPr>
        <w:t>Metformin can also improve symptoms of hyperandrogenism</w:t>
      </w:r>
      <w:r w:rsidR="0011447F" w:rsidRPr="00D11FC4">
        <w:rPr>
          <w:rFonts w:eastAsia="Times New Roman" w:cstheme="minorHAnsi"/>
        </w:rPr>
        <w:t>,</w:t>
      </w:r>
      <w:r w:rsidR="001B06A5" w:rsidRPr="00D11FC4">
        <w:rPr>
          <w:rFonts w:eastAsia="Times New Roman" w:cstheme="minorHAnsi"/>
        </w:rPr>
        <w:t xml:space="preserve"> menstrual irregularity</w:t>
      </w:r>
      <w:r w:rsidR="0011447F" w:rsidRPr="00D11FC4">
        <w:rPr>
          <w:rFonts w:eastAsia="Times New Roman" w:cstheme="minorHAnsi"/>
        </w:rPr>
        <w:t>, and fertility</w:t>
      </w:r>
      <w:r w:rsidR="001B06A5" w:rsidRPr="00D11FC4">
        <w:rPr>
          <w:rFonts w:eastAsia="Times New Roman" w:cstheme="minorHAnsi"/>
        </w:rPr>
        <w:t>.</w:t>
      </w:r>
      <w:r w:rsidR="001B06A5" w:rsidRPr="00D11FC4">
        <w:rPr>
          <w:rFonts w:eastAsia="Times New Roman" w:cstheme="minorHAnsi"/>
          <w:vertAlign w:val="superscript"/>
        </w:rPr>
        <w:t>5</w:t>
      </w:r>
      <w:r w:rsidR="00EB7CDD">
        <w:rPr>
          <w:rFonts w:eastAsia="Times New Roman" w:cstheme="minorHAnsi"/>
          <w:vertAlign w:val="superscript"/>
        </w:rPr>
        <w:t>,7</w:t>
      </w:r>
    </w:p>
    <w:p w14:paraId="3936F892" w14:textId="05CD1B0A" w:rsidR="00E42EE5" w:rsidRPr="00D11FC4" w:rsidRDefault="00E42EE5" w:rsidP="00E42EE5">
      <w:pPr>
        <w:pStyle w:val="ListParagraph"/>
        <w:numPr>
          <w:ilvl w:val="0"/>
          <w:numId w:val="19"/>
        </w:numPr>
      </w:pPr>
      <w:r w:rsidRPr="00D11FC4">
        <w:rPr>
          <w:rFonts w:eastAsia="Times New Roman" w:cstheme="minorHAnsi"/>
        </w:rPr>
        <w:t>Other metabolic complications associated with PCOS include obstructive sleep apnea and non-alcoholic fatty liver disease.</w:t>
      </w:r>
      <w:r w:rsidR="002C10C3" w:rsidRPr="00D11FC4">
        <w:rPr>
          <w:rFonts w:eastAsia="Times New Roman" w:cstheme="minorHAnsi"/>
          <w:vertAlign w:val="superscript"/>
        </w:rPr>
        <w:t>2</w:t>
      </w:r>
    </w:p>
    <w:p w14:paraId="22D0747D" w14:textId="2CB99107" w:rsidR="001D2FAA" w:rsidRPr="00D11FC4" w:rsidRDefault="001D2FAA" w:rsidP="001D2FAA">
      <w:pPr>
        <w:outlineLvl w:val="1"/>
        <w:rPr>
          <w:rFonts w:eastAsia="Times New Roman" w:cstheme="minorHAnsi"/>
        </w:rPr>
      </w:pPr>
      <w:r w:rsidRPr="00D11FC4">
        <w:rPr>
          <w:rFonts w:eastAsia="Times New Roman" w:cstheme="minorHAnsi"/>
          <w:b/>
          <w:bCs/>
        </w:rPr>
        <w:t xml:space="preserve">Gynecologic: </w:t>
      </w:r>
    </w:p>
    <w:p w14:paraId="72B4816F" w14:textId="77777777" w:rsidR="00821D1B" w:rsidRPr="00D11FC4" w:rsidRDefault="00471578" w:rsidP="00A56061">
      <w:pPr>
        <w:pStyle w:val="ListParagraph"/>
        <w:numPr>
          <w:ilvl w:val="0"/>
          <w:numId w:val="20"/>
        </w:numPr>
        <w:outlineLvl w:val="1"/>
        <w:rPr>
          <w:rFonts w:eastAsia="Times New Roman" w:cstheme="minorHAnsi"/>
        </w:rPr>
      </w:pPr>
      <w:r w:rsidRPr="00D11FC4">
        <w:rPr>
          <w:rFonts w:eastAsia="Times New Roman" w:cstheme="minorHAnsi"/>
          <w:u w:val="single"/>
        </w:rPr>
        <w:t>Endometrial hyperplasia:</w:t>
      </w:r>
      <w:r w:rsidRPr="00D11FC4">
        <w:rPr>
          <w:rFonts w:eastAsia="Times New Roman" w:cstheme="minorHAnsi"/>
        </w:rPr>
        <w:t xml:space="preserve"> Women with PCOS have a 3x higher risk of endometrial cancer due to chronic anovulation, which leads to lack of endometrial shedding. This chronic estrogen stimulation can lead to </w:t>
      </w:r>
      <w:r w:rsidRPr="00D11FC4">
        <w:rPr>
          <w:rFonts w:eastAsia="Times New Roman" w:cstheme="minorHAnsi"/>
        </w:rPr>
        <w:lastRenderedPageBreak/>
        <w:t xml:space="preserve">endometrial carcinoma. Other risk factors for endometrial hyperplasia/cancer include hyperinsulinemia, hyperandrogenism, and obesity. </w:t>
      </w:r>
    </w:p>
    <w:p w14:paraId="0A52B7B4" w14:textId="326DCB86" w:rsidR="00821D1B" w:rsidRPr="00D11FC4" w:rsidRDefault="00F5097F" w:rsidP="00A56061">
      <w:pPr>
        <w:pStyle w:val="ListParagraph"/>
        <w:numPr>
          <w:ilvl w:val="1"/>
          <w:numId w:val="20"/>
        </w:numPr>
        <w:outlineLvl w:val="1"/>
        <w:rPr>
          <w:rFonts w:eastAsia="Times New Roman" w:cstheme="minorHAnsi"/>
        </w:rPr>
      </w:pPr>
      <w:r w:rsidRPr="00D11FC4">
        <w:rPr>
          <w:rFonts w:eastAsia="Times New Roman" w:cstheme="minorHAnsi"/>
          <w:i/>
          <w:iCs/>
        </w:rPr>
        <w:t xml:space="preserve">Management: </w:t>
      </w:r>
      <w:r w:rsidR="00471578" w:rsidRPr="00D11FC4">
        <w:rPr>
          <w:rFonts w:eastAsia="Times New Roman" w:cstheme="minorHAnsi"/>
        </w:rPr>
        <w:t xml:space="preserve">Treatment is any agent that decrease endometrial stimulation and promotes regular endometrial turnover. Options include OCPs, progestin IUDs, or cyclic progesterone usage. All patients should have a withdrawal bleed at least every 90 days to promote endometrial shedding and prevent hyperplasia. </w:t>
      </w:r>
    </w:p>
    <w:p w14:paraId="3925AD72" w14:textId="5178FDBE" w:rsidR="00E42EE5" w:rsidRPr="00D11FC4" w:rsidRDefault="003745F8" w:rsidP="00A56061">
      <w:pPr>
        <w:pStyle w:val="ListParagraph"/>
        <w:numPr>
          <w:ilvl w:val="1"/>
          <w:numId w:val="20"/>
        </w:numPr>
        <w:outlineLvl w:val="1"/>
        <w:rPr>
          <w:rFonts w:eastAsia="Times New Roman" w:cstheme="minorHAnsi"/>
        </w:rPr>
      </w:pPr>
      <w:r w:rsidRPr="00D11FC4">
        <w:rPr>
          <w:rFonts w:eastAsia="Times New Roman" w:cstheme="minorHAnsi"/>
        </w:rPr>
        <w:t>C</w:t>
      </w:r>
      <w:r w:rsidR="00E42EE5" w:rsidRPr="00D11FC4">
        <w:rPr>
          <w:rFonts w:eastAsia="Times New Roman" w:cstheme="minorHAnsi"/>
        </w:rPr>
        <w:t>urrent guidelines do not recommend routine US screening for endometrial cancer.</w:t>
      </w:r>
      <w:r w:rsidR="002C10C3" w:rsidRPr="00D11FC4">
        <w:rPr>
          <w:rFonts w:eastAsia="Times New Roman" w:cstheme="minorHAnsi"/>
          <w:vertAlign w:val="superscript"/>
        </w:rPr>
        <w:t>2</w:t>
      </w:r>
    </w:p>
    <w:p w14:paraId="6CCF6C89" w14:textId="77777777" w:rsidR="00821D1B" w:rsidRPr="00D11FC4" w:rsidRDefault="00A56061" w:rsidP="001D2FAA">
      <w:pPr>
        <w:pStyle w:val="ListParagraph"/>
        <w:numPr>
          <w:ilvl w:val="0"/>
          <w:numId w:val="20"/>
        </w:numPr>
        <w:outlineLvl w:val="1"/>
        <w:rPr>
          <w:rFonts w:eastAsia="Times New Roman" w:cstheme="minorHAnsi"/>
          <w:i/>
          <w:iCs/>
        </w:rPr>
      </w:pPr>
      <w:r w:rsidRPr="00D11FC4">
        <w:rPr>
          <w:rFonts w:eastAsia="Times New Roman" w:cstheme="minorHAnsi"/>
          <w:u w:val="single"/>
        </w:rPr>
        <w:t>Menstrual irregularities</w:t>
      </w:r>
      <w:r w:rsidRPr="00D11FC4">
        <w:rPr>
          <w:rFonts w:eastAsia="Times New Roman" w:cstheme="minorHAnsi"/>
        </w:rPr>
        <w:t>: Patients with PCOS have an increased risk of abnormal uterine bleeding</w:t>
      </w:r>
      <w:r w:rsidR="00D56A67" w:rsidRPr="00D11FC4">
        <w:rPr>
          <w:rFonts w:eastAsia="Times New Roman" w:cstheme="minorHAnsi"/>
        </w:rPr>
        <w:t xml:space="preserve">. This is </w:t>
      </w:r>
      <w:r w:rsidRPr="00D11FC4">
        <w:rPr>
          <w:rFonts w:eastAsia="Times New Roman" w:cstheme="minorHAnsi"/>
        </w:rPr>
        <w:t xml:space="preserve">disruptive, impairs quality of life, and can even cause dysfunctional uterine bleeding causing anemia. The most common and well-tolerated way to treat these menstrual irregularities in a patient not desiring pregnancy is combined oral contraceptives. </w:t>
      </w:r>
    </w:p>
    <w:p w14:paraId="21487638" w14:textId="27FD2C07" w:rsidR="00821D1B" w:rsidRPr="00D11FC4" w:rsidRDefault="00821D1B" w:rsidP="00821D1B">
      <w:pPr>
        <w:pStyle w:val="ListParagraph"/>
        <w:numPr>
          <w:ilvl w:val="1"/>
          <w:numId w:val="20"/>
        </w:numPr>
        <w:outlineLvl w:val="1"/>
        <w:rPr>
          <w:rFonts w:eastAsia="Times New Roman" w:cstheme="minorHAnsi"/>
        </w:rPr>
      </w:pPr>
      <w:r w:rsidRPr="00D11FC4">
        <w:rPr>
          <w:rFonts w:eastAsia="Times New Roman" w:cstheme="minorHAnsi"/>
          <w:i/>
          <w:iCs/>
        </w:rPr>
        <w:t xml:space="preserve">Management: </w:t>
      </w:r>
      <w:r w:rsidR="00A56061" w:rsidRPr="00D11FC4">
        <w:rPr>
          <w:rFonts w:eastAsia="Times New Roman" w:cstheme="minorHAnsi"/>
        </w:rPr>
        <w:t xml:space="preserve">OCPs suppress gonadotropin release, </w:t>
      </w:r>
      <w:r w:rsidR="00D56A67" w:rsidRPr="00D11FC4">
        <w:rPr>
          <w:rFonts w:eastAsia="Times New Roman" w:cstheme="minorHAnsi"/>
        </w:rPr>
        <w:t xml:space="preserve">also </w:t>
      </w:r>
      <w:r w:rsidR="00A56061" w:rsidRPr="00D11FC4">
        <w:rPr>
          <w:rFonts w:eastAsia="Times New Roman" w:cstheme="minorHAnsi"/>
        </w:rPr>
        <w:t>improving other co-morbidities associated with PCOS like hirsutism. We recommend choosing a progestin that is less androgenic in this patient population</w:t>
      </w:r>
      <w:r w:rsidR="00471578" w:rsidRPr="00D11FC4">
        <w:rPr>
          <w:rFonts w:eastAsia="Times New Roman" w:cstheme="minorHAnsi"/>
        </w:rPr>
        <w:t xml:space="preserve"> (examples: </w:t>
      </w:r>
      <w:r w:rsidR="00526EE2" w:rsidRPr="00D11FC4">
        <w:rPr>
          <w:rFonts w:eastAsia="Times New Roman" w:cstheme="minorHAnsi"/>
        </w:rPr>
        <w:t>d</w:t>
      </w:r>
      <w:r w:rsidR="00471578" w:rsidRPr="00D11FC4">
        <w:rPr>
          <w:rFonts w:eastAsia="Times New Roman" w:cstheme="minorHAnsi"/>
        </w:rPr>
        <w:t xml:space="preserve">esogestrel, </w:t>
      </w:r>
      <w:r w:rsidR="00526EE2" w:rsidRPr="00D11FC4">
        <w:rPr>
          <w:rFonts w:eastAsia="Times New Roman" w:cstheme="minorHAnsi"/>
        </w:rPr>
        <w:t>n</w:t>
      </w:r>
      <w:r w:rsidR="00471578" w:rsidRPr="00D11FC4">
        <w:rPr>
          <w:rFonts w:eastAsia="Times New Roman" w:cstheme="minorHAnsi"/>
        </w:rPr>
        <w:t xml:space="preserve">orgestimate, and </w:t>
      </w:r>
      <w:r w:rsidR="00526EE2" w:rsidRPr="00D11FC4">
        <w:rPr>
          <w:rFonts w:eastAsia="Times New Roman" w:cstheme="minorHAnsi"/>
        </w:rPr>
        <w:t>d</w:t>
      </w:r>
      <w:r w:rsidR="00471578" w:rsidRPr="00D11FC4">
        <w:rPr>
          <w:rFonts w:eastAsia="Times New Roman" w:cstheme="minorHAnsi"/>
        </w:rPr>
        <w:t>rosperinone)</w:t>
      </w:r>
      <w:r w:rsidR="00EB7CDD">
        <w:rPr>
          <w:rFonts w:eastAsia="Times New Roman" w:cstheme="minorHAnsi"/>
        </w:rPr>
        <w:t>.</w:t>
      </w:r>
    </w:p>
    <w:p w14:paraId="54D37DAE" w14:textId="11BA0A89" w:rsidR="0003717F" w:rsidRPr="00D11FC4" w:rsidRDefault="00A56061" w:rsidP="001D2FAA">
      <w:pPr>
        <w:pStyle w:val="ListParagraph"/>
        <w:numPr>
          <w:ilvl w:val="0"/>
          <w:numId w:val="20"/>
        </w:numPr>
        <w:outlineLvl w:val="1"/>
        <w:rPr>
          <w:rFonts w:eastAsia="Times New Roman" w:cstheme="minorHAnsi"/>
        </w:rPr>
      </w:pPr>
      <w:r w:rsidRPr="00D11FC4">
        <w:rPr>
          <w:rFonts w:eastAsia="Times New Roman" w:cstheme="minorHAnsi"/>
          <w:u w:val="single"/>
        </w:rPr>
        <w:t>Infertility</w:t>
      </w:r>
      <w:r w:rsidRPr="00D11FC4">
        <w:rPr>
          <w:rFonts w:eastAsia="Times New Roman" w:cstheme="minorHAnsi"/>
        </w:rPr>
        <w:t>:</w:t>
      </w:r>
      <w:r w:rsidR="00EA4AA9" w:rsidRPr="00D11FC4">
        <w:rPr>
          <w:rFonts w:eastAsia="Times New Roman" w:cstheme="minorHAnsi"/>
        </w:rPr>
        <w:t xml:space="preserve"> PCOS is the most common cause of anovulatory infertility in the US. Infertility is </w:t>
      </w:r>
      <w:r w:rsidR="00526EE2" w:rsidRPr="00D11FC4">
        <w:rPr>
          <w:rFonts w:eastAsia="Times New Roman" w:cstheme="minorHAnsi"/>
        </w:rPr>
        <w:t>an</w:t>
      </w:r>
      <w:r w:rsidR="00EA4AA9" w:rsidRPr="00D11FC4">
        <w:rPr>
          <w:rFonts w:eastAsia="Times New Roman" w:cstheme="minorHAnsi"/>
        </w:rPr>
        <w:t xml:space="preserve"> extremely common in women with PCOS, independent of BMI! While a normally ovulating woman has about a 10-15% chance of conceiving each cycle, a woman with PCOS has a conception rate about half that, at 5-10% per cycle.</w:t>
      </w:r>
    </w:p>
    <w:p w14:paraId="72F443C8" w14:textId="16328A87" w:rsidR="0003717F" w:rsidRPr="00D11FC4" w:rsidRDefault="00F5097F" w:rsidP="0003717F">
      <w:pPr>
        <w:pStyle w:val="ListParagraph"/>
        <w:numPr>
          <w:ilvl w:val="1"/>
          <w:numId w:val="20"/>
        </w:numPr>
        <w:outlineLvl w:val="1"/>
        <w:rPr>
          <w:rFonts w:eastAsia="Times New Roman" w:cstheme="minorHAnsi"/>
        </w:rPr>
      </w:pPr>
      <w:r w:rsidRPr="00D11FC4">
        <w:rPr>
          <w:rFonts w:eastAsia="Times New Roman" w:cstheme="minorHAnsi"/>
          <w:i/>
          <w:iCs/>
        </w:rPr>
        <w:t xml:space="preserve">Management: </w:t>
      </w:r>
      <w:r w:rsidR="00EA4AA9" w:rsidRPr="00D11FC4">
        <w:rPr>
          <w:rFonts w:eastAsia="Times New Roman" w:cstheme="minorHAnsi"/>
        </w:rPr>
        <w:t xml:space="preserve">It is also important to discuss fertility goals regularly with these patients to connect them with resources </w:t>
      </w:r>
      <w:r w:rsidR="0003717F" w:rsidRPr="00D11FC4">
        <w:rPr>
          <w:rFonts w:eastAsia="Times New Roman" w:cstheme="minorHAnsi"/>
        </w:rPr>
        <w:t>early and</w:t>
      </w:r>
      <w:r w:rsidR="00EA4AA9" w:rsidRPr="00D11FC4">
        <w:rPr>
          <w:rFonts w:eastAsia="Times New Roman" w:cstheme="minorHAnsi"/>
        </w:rPr>
        <w:t xml:space="preserve"> refer patients with PCOS to OB/Gyn or Reproductive </w:t>
      </w:r>
      <w:r w:rsidR="00D56A67" w:rsidRPr="00D11FC4">
        <w:rPr>
          <w:rFonts w:eastAsia="Times New Roman" w:cstheme="minorHAnsi"/>
        </w:rPr>
        <w:t>Endocrinology</w:t>
      </w:r>
      <w:r w:rsidR="00EA4AA9" w:rsidRPr="00D11FC4">
        <w:rPr>
          <w:rFonts w:eastAsia="Times New Roman" w:cstheme="minorHAnsi"/>
        </w:rPr>
        <w:t xml:space="preserve"> and Infertility (REI) when they are considering childbearing for additional counseling. </w:t>
      </w:r>
    </w:p>
    <w:p w14:paraId="2BF92055" w14:textId="5398CCFF" w:rsidR="00526EE2" w:rsidRPr="00D11FC4" w:rsidRDefault="00526EE2" w:rsidP="00526EE2">
      <w:pPr>
        <w:pStyle w:val="ListParagraph"/>
        <w:numPr>
          <w:ilvl w:val="2"/>
          <w:numId w:val="20"/>
        </w:numPr>
        <w:outlineLvl w:val="1"/>
        <w:rPr>
          <w:rFonts w:eastAsia="Times New Roman" w:cstheme="minorHAnsi"/>
        </w:rPr>
      </w:pPr>
      <w:r w:rsidRPr="00D11FC4">
        <w:rPr>
          <w:rFonts w:eastAsia="Times New Roman" w:cstheme="minorHAnsi"/>
        </w:rPr>
        <w:t>Weight loss is the first line treatment in overweight and obese patients. Five to 10% weight loss can improve menstrual irregularities</w:t>
      </w:r>
      <w:r w:rsidR="00EB7CDD">
        <w:rPr>
          <w:rFonts w:eastAsia="Times New Roman" w:cstheme="minorHAnsi"/>
        </w:rPr>
        <w:t xml:space="preserve"> and ovulation frequency</w:t>
      </w:r>
      <w:r w:rsidRPr="00D11FC4">
        <w:rPr>
          <w:rFonts w:eastAsia="Times New Roman" w:cstheme="minorHAnsi"/>
        </w:rPr>
        <w:t>.</w:t>
      </w:r>
      <w:r w:rsidR="002C10C3" w:rsidRPr="00D11FC4">
        <w:rPr>
          <w:rFonts w:eastAsia="Times New Roman" w:cstheme="minorHAnsi"/>
          <w:vertAlign w:val="superscript"/>
        </w:rPr>
        <w:t>2</w:t>
      </w:r>
      <w:r w:rsidR="00EB7CDD">
        <w:rPr>
          <w:rFonts w:eastAsia="Times New Roman" w:cstheme="minorHAnsi"/>
          <w:vertAlign w:val="superscript"/>
        </w:rPr>
        <w:t>,7</w:t>
      </w:r>
    </w:p>
    <w:p w14:paraId="723D379A" w14:textId="47106BE0" w:rsidR="00526EE2" w:rsidRPr="00D11FC4" w:rsidRDefault="00EB7CDD" w:rsidP="00526EE2">
      <w:pPr>
        <w:pStyle w:val="ListParagraph"/>
        <w:numPr>
          <w:ilvl w:val="2"/>
          <w:numId w:val="20"/>
        </w:numPr>
        <w:outlineLvl w:val="1"/>
        <w:rPr>
          <w:rFonts w:eastAsia="Times New Roman" w:cstheme="minorHAnsi"/>
        </w:rPr>
      </w:pPr>
      <w:r>
        <w:rPr>
          <w:rFonts w:eastAsia="Times New Roman" w:cstheme="minorHAnsi"/>
        </w:rPr>
        <w:t xml:space="preserve">BONUS: </w:t>
      </w:r>
      <w:r w:rsidR="00526EE2" w:rsidRPr="00D11FC4">
        <w:rPr>
          <w:rFonts w:eastAsia="Times New Roman" w:cstheme="minorHAnsi"/>
        </w:rPr>
        <w:t>Clomiphene, a selective estrogen receptor modulator, is first line for ovulation induction in women with PCOS. It binds estrogen receptors in the hypothalamus and inhibits negative feedback of estrogen on the hypothalamus.</w:t>
      </w:r>
      <w:r w:rsidR="002C10C3" w:rsidRPr="00D11FC4">
        <w:rPr>
          <w:rFonts w:eastAsia="Times New Roman" w:cstheme="minorHAnsi"/>
          <w:vertAlign w:val="superscript"/>
        </w:rPr>
        <w:t>2</w:t>
      </w:r>
      <w:r w:rsidR="002F3F98" w:rsidRPr="00D11FC4">
        <w:rPr>
          <w:rFonts w:eastAsia="Times New Roman" w:cstheme="minorHAnsi"/>
          <w:vertAlign w:val="superscript"/>
        </w:rPr>
        <w:t>,5</w:t>
      </w:r>
    </w:p>
    <w:p w14:paraId="3CA94462" w14:textId="69C2AFAB" w:rsidR="00722918" w:rsidRPr="00D11FC4" w:rsidRDefault="00A56061" w:rsidP="007658D2">
      <w:pPr>
        <w:pStyle w:val="ListParagraph"/>
        <w:numPr>
          <w:ilvl w:val="0"/>
          <w:numId w:val="20"/>
        </w:numPr>
        <w:outlineLvl w:val="1"/>
        <w:rPr>
          <w:rFonts w:eastAsia="Times New Roman" w:cstheme="minorHAnsi"/>
        </w:rPr>
      </w:pPr>
      <w:r w:rsidRPr="00D11FC4">
        <w:rPr>
          <w:rFonts w:eastAsia="Times New Roman" w:cstheme="minorHAnsi"/>
          <w:u w:val="single"/>
        </w:rPr>
        <w:t>Pregnancy complications:</w:t>
      </w:r>
      <w:r w:rsidRPr="00D11FC4">
        <w:rPr>
          <w:rFonts w:eastAsia="Times New Roman" w:cstheme="minorHAnsi"/>
        </w:rPr>
        <w:t xml:space="preserve"> </w:t>
      </w:r>
      <w:r w:rsidR="00EA4AA9" w:rsidRPr="00D11FC4">
        <w:rPr>
          <w:rFonts w:eastAsia="Times New Roman" w:cstheme="minorHAnsi"/>
        </w:rPr>
        <w:t>PCOS is associated with negative pregnancy outcomes.</w:t>
      </w:r>
      <w:r w:rsidR="007658D2" w:rsidRPr="00D11FC4">
        <w:rPr>
          <w:rFonts w:eastAsia="Times New Roman" w:cstheme="minorHAnsi"/>
        </w:rPr>
        <w:t xml:space="preserve"> </w:t>
      </w:r>
      <w:r w:rsidR="00EA4AA9" w:rsidRPr="00D11FC4">
        <w:rPr>
          <w:rFonts w:eastAsia="Times New Roman" w:cstheme="minorHAnsi"/>
        </w:rPr>
        <w:t xml:space="preserve">Many studies also describe an increased rate of early pregnancy loss in PCOS, up to 20-40% higher risk. The etiology of this is unclear. </w:t>
      </w:r>
      <w:r w:rsidR="00F5097F" w:rsidRPr="00D11FC4">
        <w:rPr>
          <w:rFonts w:eastAsia="Times New Roman" w:cstheme="minorHAnsi"/>
        </w:rPr>
        <w:t>Patients with PCOS will also</w:t>
      </w:r>
      <w:r w:rsidR="00EA4AA9" w:rsidRPr="00D11FC4">
        <w:rPr>
          <w:rFonts w:eastAsia="Times New Roman" w:cstheme="minorHAnsi"/>
        </w:rPr>
        <w:t xml:space="preserve"> have increased odds ratio of gestational diabetes, pregnancy-induced hypertension, pre-eclampsia, and pre-term labor. The risk of GDM in patients with PCOS is unrelated to BMI.</w:t>
      </w:r>
    </w:p>
    <w:p w14:paraId="3AE71A0B" w14:textId="77777777" w:rsidR="00E91247" w:rsidRPr="00D11FC4" w:rsidRDefault="00E91247" w:rsidP="00E91247">
      <w:pPr>
        <w:spacing w:after="0" w:line="240" w:lineRule="auto"/>
        <w:contextualSpacing/>
        <w:outlineLvl w:val="1"/>
        <w:rPr>
          <w:rFonts w:eastAsia="Times New Roman" w:cstheme="minorHAnsi"/>
          <w:b/>
          <w:bCs/>
          <w:color w:val="000000"/>
        </w:rPr>
      </w:pPr>
      <w:r w:rsidRPr="00D11FC4">
        <w:rPr>
          <w:rFonts w:eastAsia="Times New Roman" w:cstheme="minorHAnsi"/>
          <w:b/>
          <w:bCs/>
          <w:color w:val="000000"/>
        </w:rPr>
        <w:t>Take Home Points</w:t>
      </w:r>
    </w:p>
    <w:p w14:paraId="4EDEDECE" w14:textId="77777777" w:rsidR="00E91247" w:rsidRPr="00D11FC4" w:rsidRDefault="00E91247" w:rsidP="00E91247">
      <w:pPr>
        <w:spacing w:after="0" w:line="240" w:lineRule="auto"/>
        <w:contextualSpacing/>
        <w:outlineLvl w:val="1"/>
        <w:rPr>
          <w:rFonts w:eastAsia="Times New Roman" w:cstheme="minorHAnsi"/>
        </w:rPr>
      </w:pPr>
    </w:p>
    <w:p w14:paraId="58BC0381" w14:textId="77777777" w:rsidR="00A707C1" w:rsidRPr="00D11FC4" w:rsidRDefault="00E91247" w:rsidP="00A707C1">
      <w:pPr>
        <w:pStyle w:val="ListParagraph"/>
        <w:numPr>
          <w:ilvl w:val="0"/>
          <w:numId w:val="11"/>
        </w:numPr>
        <w:spacing w:after="0" w:line="240" w:lineRule="auto"/>
        <w:outlineLvl w:val="1"/>
        <w:rPr>
          <w:rFonts w:eastAsia="Times New Roman" w:cstheme="minorHAnsi"/>
        </w:rPr>
      </w:pPr>
      <w:r w:rsidRPr="00D11FC4">
        <w:rPr>
          <w:rFonts w:eastAsia="Times New Roman" w:cstheme="minorHAnsi"/>
        </w:rPr>
        <w:t xml:space="preserve">PCOS is defined by the Rotterdam Criteria, which include hyperandrogenism, menstrual irregularities, and polycystic ovaries on ultrasound. You need two of three to meet diagnostic criteria. </w:t>
      </w:r>
    </w:p>
    <w:p w14:paraId="45BD4307" w14:textId="4CF1A21B" w:rsidR="00A707C1" w:rsidRPr="00D11FC4" w:rsidRDefault="00E91247" w:rsidP="00A707C1">
      <w:pPr>
        <w:pStyle w:val="ListParagraph"/>
        <w:numPr>
          <w:ilvl w:val="0"/>
          <w:numId w:val="11"/>
        </w:numPr>
        <w:spacing w:after="0" w:line="240" w:lineRule="auto"/>
        <w:outlineLvl w:val="1"/>
        <w:rPr>
          <w:rFonts w:eastAsia="Times New Roman" w:cstheme="minorHAnsi"/>
        </w:rPr>
      </w:pPr>
      <w:r w:rsidRPr="00D11FC4">
        <w:rPr>
          <w:rFonts w:eastAsia="Times New Roman" w:cstheme="minorHAnsi"/>
        </w:rPr>
        <w:t xml:space="preserve">PCOS is a diagnosis of </w:t>
      </w:r>
      <w:r w:rsidR="00A707C1" w:rsidRPr="00D11FC4">
        <w:rPr>
          <w:rFonts w:eastAsia="Times New Roman" w:cstheme="minorHAnsi"/>
        </w:rPr>
        <w:t>exclusion,</w:t>
      </w:r>
      <w:r w:rsidRPr="00D11FC4">
        <w:rPr>
          <w:rFonts w:eastAsia="Times New Roman" w:cstheme="minorHAnsi"/>
        </w:rPr>
        <w:t xml:space="preserve"> and you must rule out other causes of menstrual irregularities and/or hyperandrogenism before assigning this diagnosis. </w:t>
      </w:r>
    </w:p>
    <w:p w14:paraId="59CF28AF" w14:textId="7492FB3D" w:rsidR="00E91247" w:rsidRPr="00D11FC4" w:rsidRDefault="00E91247" w:rsidP="00A707C1">
      <w:pPr>
        <w:pStyle w:val="ListParagraph"/>
        <w:numPr>
          <w:ilvl w:val="0"/>
          <w:numId w:val="11"/>
        </w:numPr>
        <w:spacing w:after="0" w:line="240" w:lineRule="auto"/>
        <w:outlineLvl w:val="1"/>
        <w:rPr>
          <w:rFonts w:eastAsia="Times New Roman" w:cstheme="minorHAnsi"/>
        </w:rPr>
      </w:pPr>
      <w:r w:rsidRPr="00D11FC4">
        <w:rPr>
          <w:rFonts w:eastAsia="Times New Roman" w:cstheme="minorHAnsi"/>
        </w:rPr>
        <w:t xml:space="preserve">There are multiple gynecologic and medical co-morbidities associated with PCOS to screen patients for, including abnormal uterine bleeding, endometrial hyperplasia/neoplasia, insulin resistance and type 2 diabetes, cardiovascular disease, hyperandrogenism, infertility, and pregnancy complications. </w:t>
      </w:r>
    </w:p>
    <w:p w14:paraId="7B589DE2" w14:textId="77777777" w:rsidR="00E91247" w:rsidRPr="00D11FC4" w:rsidRDefault="00E91247" w:rsidP="00E91247">
      <w:pPr>
        <w:spacing w:after="0" w:line="240" w:lineRule="auto"/>
        <w:contextualSpacing/>
        <w:outlineLvl w:val="1"/>
        <w:rPr>
          <w:rFonts w:eastAsia="Times New Roman" w:cstheme="minorHAnsi"/>
        </w:rPr>
      </w:pPr>
    </w:p>
    <w:p w14:paraId="11ADDEEA" w14:textId="77777777" w:rsidR="00E91247" w:rsidRPr="00D11FC4" w:rsidRDefault="00E91247" w:rsidP="00E91247">
      <w:pPr>
        <w:spacing w:after="0" w:line="240" w:lineRule="auto"/>
        <w:contextualSpacing/>
        <w:outlineLvl w:val="1"/>
        <w:rPr>
          <w:rFonts w:eastAsia="Times New Roman" w:cstheme="minorHAnsi"/>
          <w:b/>
          <w:bCs/>
          <w:color w:val="000000"/>
        </w:rPr>
      </w:pPr>
      <w:r w:rsidRPr="00D11FC4">
        <w:rPr>
          <w:rFonts w:eastAsia="Times New Roman" w:cstheme="minorHAnsi"/>
          <w:b/>
          <w:bCs/>
          <w:color w:val="000000"/>
        </w:rPr>
        <w:t>References</w:t>
      </w:r>
    </w:p>
    <w:p w14:paraId="35F78C9B" w14:textId="51AD48F3" w:rsidR="00C50AA4" w:rsidRPr="00D11FC4" w:rsidRDefault="00E345C1" w:rsidP="00C50AA4">
      <w:pPr>
        <w:pStyle w:val="ListParagraph"/>
        <w:numPr>
          <w:ilvl w:val="0"/>
          <w:numId w:val="10"/>
        </w:numPr>
        <w:spacing w:after="0" w:line="240" w:lineRule="auto"/>
        <w:outlineLvl w:val="1"/>
        <w:rPr>
          <w:rFonts w:eastAsia="Times New Roman" w:cstheme="minorHAnsi"/>
          <w:color w:val="000000" w:themeColor="text1"/>
        </w:rPr>
      </w:pPr>
      <w:r w:rsidRPr="00D11FC4">
        <w:rPr>
          <w:rFonts w:eastAsia="Times New Roman" w:cstheme="minorHAnsi"/>
          <w:color w:val="000000" w:themeColor="text1"/>
        </w:rPr>
        <w:lastRenderedPageBreak/>
        <w:t xml:space="preserve">Kiconco S, et al. The Need to Reassess the Diagnosis of Polycystic Ovary Syndrome (PCOS): A Review of Diagnostic Recommendations from the International Evidence-Based Guidelines for the Assessment and Management of PCOS. </w:t>
      </w:r>
      <w:r w:rsidRPr="00D11FC4">
        <w:rPr>
          <w:rFonts w:eastAsia="Times New Roman" w:cstheme="minorHAnsi"/>
          <w:i/>
          <w:iCs/>
          <w:color w:val="000000" w:themeColor="text1"/>
        </w:rPr>
        <w:t>Semin Reprod Med</w:t>
      </w:r>
      <w:r w:rsidRPr="00D11FC4">
        <w:rPr>
          <w:rFonts w:eastAsia="Times New Roman" w:cstheme="minorHAnsi"/>
          <w:color w:val="000000" w:themeColor="text1"/>
        </w:rPr>
        <w:t>. 2021; 39(03/04): 71-77.</w:t>
      </w:r>
    </w:p>
    <w:p w14:paraId="7FD478C7" w14:textId="4B836C46" w:rsidR="00756ED8" w:rsidRPr="00D11FC4" w:rsidRDefault="00756ED8" w:rsidP="00756ED8">
      <w:pPr>
        <w:pStyle w:val="pf0"/>
        <w:numPr>
          <w:ilvl w:val="0"/>
          <w:numId w:val="10"/>
        </w:numPr>
        <w:rPr>
          <w:rStyle w:val="cf11"/>
          <w:rFonts w:asciiTheme="minorHAnsi" w:hAnsiTheme="minorHAnsi" w:cstheme="minorHAnsi"/>
          <w:color w:val="000000" w:themeColor="text1"/>
          <w:sz w:val="22"/>
          <w:szCs w:val="22"/>
        </w:rPr>
      </w:pPr>
      <w:r w:rsidRPr="00D11FC4">
        <w:rPr>
          <w:rStyle w:val="cf01"/>
          <w:rFonts w:asciiTheme="minorHAnsi" w:hAnsiTheme="minorHAnsi" w:cstheme="minorHAnsi"/>
          <w:color w:val="000000" w:themeColor="text1"/>
          <w:sz w:val="22"/>
          <w:szCs w:val="22"/>
        </w:rPr>
        <w:t xml:space="preserve">Trikudanathan S. Polycycstic Ovarian Syndrome. </w:t>
      </w:r>
      <w:r w:rsidRPr="00D11FC4">
        <w:rPr>
          <w:rStyle w:val="cf11"/>
          <w:rFonts w:asciiTheme="minorHAnsi" w:hAnsiTheme="minorHAnsi" w:cstheme="minorHAnsi"/>
          <w:color w:val="000000" w:themeColor="text1"/>
          <w:sz w:val="22"/>
          <w:szCs w:val="22"/>
        </w:rPr>
        <w:t>Medical Clinics of North America. 2015. 99(1): 221-235.</w:t>
      </w:r>
    </w:p>
    <w:p w14:paraId="0BDDA375" w14:textId="5781F2B6" w:rsidR="00756ED8" w:rsidRPr="00D11FC4" w:rsidRDefault="00756ED8" w:rsidP="00756ED8">
      <w:pPr>
        <w:pStyle w:val="pf0"/>
        <w:numPr>
          <w:ilvl w:val="0"/>
          <w:numId w:val="10"/>
        </w:numPr>
        <w:rPr>
          <w:rFonts w:asciiTheme="minorHAnsi" w:hAnsiTheme="minorHAnsi" w:cstheme="minorHAnsi"/>
          <w:color w:val="000000" w:themeColor="text1"/>
          <w:sz w:val="22"/>
          <w:szCs w:val="22"/>
        </w:rPr>
      </w:pPr>
      <w:r w:rsidRPr="00D11FC4">
        <w:rPr>
          <w:rStyle w:val="cf01"/>
          <w:rFonts w:asciiTheme="minorHAnsi" w:hAnsiTheme="minorHAnsi" w:cstheme="minorHAnsi"/>
          <w:color w:val="000000" w:themeColor="text1"/>
          <w:sz w:val="22"/>
          <w:szCs w:val="22"/>
        </w:rPr>
        <w:t>Norman RJ et al. Polycystic ovary syndrome. Lancet, 2007. 370:685-97.</w:t>
      </w:r>
    </w:p>
    <w:p w14:paraId="4ECAEE62" w14:textId="29B260AB" w:rsidR="002C1B1D" w:rsidRPr="00D11FC4" w:rsidRDefault="002C1B1D" w:rsidP="002C1B1D">
      <w:pPr>
        <w:pStyle w:val="ListParagraph"/>
        <w:numPr>
          <w:ilvl w:val="0"/>
          <w:numId w:val="10"/>
        </w:numPr>
        <w:spacing w:after="0" w:line="240" w:lineRule="auto"/>
        <w:outlineLvl w:val="1"/>
        <w:rPr>
          <w:rFonts w:eastAsia="Times New Roman" w:cstheme="minorHAnsi"/>
          <w:color w:val="000000" w:themeColor="text1"/>
        </w:rPr>
      </w:pPr>
      <w:r w:rsidRPr="00D11FC4">
        <w:rPr>
          <w:rFonts w:eastAsia="Times New Roman" w:cstheme="minorHAnsi"/>
          <w:color w:val="000000" w:themeColor="text1"/>
        </w:rPr>
        <w:t xml:space="preserve">Goodman NF, et al. American Association of Clinical Endocrinologists, American College of Endocrinology, and Androgen Excess and PCOS Society Disease State Clinical Review: Guide to the Best Practices in the Evaluation and Treatment of Polycystic Ovary Syndrome – Part 1. </w:t>
      </w:r>
      <w:r w:rsidRPr="00D11FC4">
        <w:rPr>
          <w:rFonts w:eastAsia="Times New Roman" w:cstheme="minorHAnsi"/>
          <w:i/>
          <w:iCs/>
          <w:color w:val="000000" w:themeColor="text1"/>
        </w:rPr>
        <w:t>Endocrine Practice</w:t>
      </w:r>
      <w:r w:rsidRPr="00D11FC4">
        <w:rPr>
          <w:rFonts w:eastAsia="Times New Roman" w:cstheme="minorHAnsi"/>
          <w:color w:val="000000" w:themeColor="text1"/>
        </w:rPr>
        <w:t>. 2015. 21(12):1291-1300.</w:t>
      </w:r>
    </w:p>
    <w:p w14:paraId="5ECCCB42" w14:textId="39678EB3" w:rsidR="00B63599" w:rsidRPr="00D11FC4" w:rsidRDefault="00722918" w:rsidP="00756ED8">
      <w:pPr>
        <w:pStyle w:val="ListParagraph"/>
        <w:numPr>
          <w:ilvl w:val="0"/>
          <w:numId w:val="10"/>
        </w:numPr>
        <w:spacing w:after="0" w:line="240" w:lineRule="auto"/>
        <w:outlineLvl w:val="1"/>
        <w:rPr>
          <w:rFonts w:cstheme="minorHAnsi"/>
          <w:color w:val="000000" w:themeColor="text1"/>
        </w:rPr>
      </w:pPr>
      <w:r w:rsidRPr="00D11FC4">
        <w:rPr>
          <w:rFonts w:eastAsia="Times New Roman" w:cstheme="minorHAnsi"/>
          <w:color w:val="000000" w:themeColor="text1"/>
        </w:rPr>
        <w:t xml:space="preserve">Goodman NF, et al. American Association of Clinical Endocrinologists, American College of Endocrinology, and Androgen Excess and PCOS Society Disease State Clinical Review: Guide to the Best Practices in the Evaluation and Treatment of Polycystic Ovary Syndrome – Part 2. </w:t>
      </w:r>
      <w:r w:rsidRPr="00D11FC4">
        <w:rPr>
          <w:rFonts w:eastAsia="Times New Roman" w:cstheme="minorHAnsi"/>
          <w:i/>
          <w:iCs/>
          <w:color w:val="000000" w:themeColor="text1"/>
        </w:rPr>
        <w:t>Endocrine Practice</w:t>
      </w:r>
      <w:r w:rsidRPr="00D11FC4">
        <w:rPr>
          <w:rFonts w:eastAsia="Times New Roman" w:cstheme="minorHAnsi"/>
          <w:color w:val="000000" w:themeColor="text1"/>
        </w:rPr>
        <w:t>. 2015. 21(12):1415-1426.</w:t>
      </w:r>
    </w:p>
    <w:p w14:paraId="4C0306C5" w14:textId="5303B1A1" w:rsidR="00542F33" w:rsidRDefault="00542F33" w:rsidP="00542F33">
      <w:pPr>
        <w:pStyle w:val="ListParagraph"/>
        <w:numPr>
          <w:ilvl w:val="0"/>
          <w:numId w:val="10"/>
        </w:numPr>
        <w:spacing w:after="0" w:line="240" w:lineRule="auto"/>
        <w:outlineLvl w:val="1"/>
        <w:rPr>
          <w:rFonts w:eastAsia="Times New Roman" w:cstheme="minorHAnsi"/>
          <w:color w:val="000000" w:themeColor="text1"/>
        </w:rPr>
      </w:pPr>
      <w:r w:rsidRPr="00D11FC4">
        <w:rPr>
          <w:rFonts w:eastAsia="Times New Roman" w:cstheme="minorHAnsi"/>
          <w:color w:val="000000" w:themeColor="text1"/>
        </w:rPr>
        <w:t xml:space="preserve">Kyritsi EM, t al. PCOS remains a diagnosis of exclusion: a concise review of key endocrinopathies to exclude. </w:t>
      </w:r>
      <w:r w:rsidRPr="00D11FC4">
        <w:rPr>
          <w:rFonts w:eastAsia="Times New Roman" w:cstheme="minorHAnsi"/>
          <w:i/>
          <w:iCs/>
          <w:color w:val="000000" w:themeColor="text1"/>
        </w:rPr>
        <w:t>Clinical Endocrinology.</w:t>
      </w:r>
      <w:r w:rsidRPr="00D11FC4">
        <w:rPr>
          <w:rFonts w:eastAsia="Times New Roman" w:cstheme="minorHAnsi"/>
          <w:color w:val="000000" w:themeColor="text1"/>
        </w:rPr>
        <w:t xml:space="preserve"> 2017. 86: 1-6</w:t>
      </w:r>
      <w:r w:rsidR="00D36A26">
        <w:rPr>
          <w:rFonts w:eastAsia="Times New Roman" w:cstheme="minorHAnsi"/>
          <w:color w:val="000000" w:themeColor="text1"/>
        </w:rPr>
        <w:t>.</w:t>
      </w:r>
    </w:p>
    <w:p w14:paraId="40CD9BF5" w14:textId="77777777" w:rsidR="00D36A26" w:rsidRPr="00D36A26" w:rsidRDefault="00D36A26" w:rsidP="00D36A26">
      <w:pPr>
        <w:numPr>
          <w:ilvl w:val="0"/>
          <w:numId w:val="10"/>
        </w:numPr>
        <w:spacing w:before="100" w:beforeAutospacing="1" w:after="100" w:afterAutospacing="1" w:line="240" w:lineRule="auto"/>
        <w:rPr>
          <w:rFonts w:eastAsia="Times New Roman" w:cstheme="minorHAnsi"/>
        </w:rPr>
      </w:pPr>
      <w:r w:rsidRPr="00D36A26">
        <w:rPr>
          <w:rFonts w:eastAsia="Times New Roman" w:cstheme="minorHAnsi"/>
        </w:rPr>
        <w:t xml:space="preserve">Azziz, R et al. Polycystic Ovary Sydnrome. </w:t>
      </w:r>
      <w:r w:rsidRPr="00D36A26">
        <w:rPr>
          <w:rFonts w:eastAsia="Times New Roman" w:cstheme="minorHAnsi"/>
          <w:i/>
          <w:iCs/>
        </w:rPr>
        <w:t>Nat Rev Dis Primers.</w:t>
      </w:r>
      <w:r w:rsidRPr="00D36A26">
        <w:rPr>
          <w:rFonts w:eastAsia="Times New Roman" w:cstheme="minorHAnsi"/>
        </w:rPr>
        <w:t xml:space="preserve"> 2016. Vol 2: 1-18.</w:t>
      </w:r>
      <w:r w:rsidRPr="00D36A26">
        <w:rPr>
          <w:rFonts w:eastAsia="Times New Roman" w:cstheme="minorHAnsi"/>
          <w:color w:val="222222"/>
          <w:shd w:val="clear" w:color="auto" w:fill="FFFFFF"/>
        </w:rPr>
        <w:t>  </w:t>
      </w:r>
    </w:p>
    <w:p w14:paraId="2AE4DCFF" w14:textId="77777777" w:rsidR="00D36A26" w:rsidRPr="00D36A26" w:rsidRDefault="00D36A26" w:rsidP="00D36A26">
      <w:pPr>
        <w:numPr>
          <w:ilvl w:val="0"/>
          <w:numId w:val="10"/>
        </w:numPr>
        <w:spacing w:before="100" w:beforeAutospacing="1" w:after="100" w:afterAutospacing="1" w:line="240" w:lineRule="auto"/>
        <w:rPr>
          <w:rFonts w:eastAsia="Times New Roman" w:cstheme="minorHAnsi"/>
        </w:rPr>
      </w:pPr>
      <w:r w:rsidRPr="00D36A26">
        <w:rPr>
          <w:rFonts w:eastAsia="Times New Roman" w:cstheme="minorHAnsi"/>
        </w:rPr>
        <w:t>ACOG Practice Bulletin. Polycystic Ovary Syndrome. </w:t>
      </w:r>
      <w:r w:rsidRPr="00D36A26">
        <w:rPr>
          <w:rFonts w:eastAsia="Times New Roman" w:cstheme="minorHAnsi"/>
          <w:i/>
          <w:iCs/>
        </w:rPr>
        <w:t>Obstetrics and Gynecology. </w:t>
      </w:r>
      <w:r w:rsidRPr="00D36A26">
        <w:rPr>
          <w:rFonts w:eastAsia="Times New Roman" w:cstheme="minorHAnsi"/>
        </w:rPr>
        <w:t>2018. 131(6): e157-e171.</w:t>
      </w:r>
    </w:p>
    <w:p w14:paraId="4FC23E7C" w14:textId="77777777" w:rsidR="00D36A26" w:rsidRPr="00D11FC4" w:rsidRDefault="00D36A26" w:rsidP="00D36A26">
      <w:pPr>
        <w:pStyle w:val="ListParagraph"/>
        <w:spacing w:after="0" w:line="240" w:lineRule="auto"/>
        <w:outlineLvl w:val="1"/>
        <w:rPr>
          <w:rFonts w:eastAsia="Times New Roman" w:cstheme="minorHAnsi"/>
          <w:color w:val="000000" w:themeColor="text1"/>
        </w:rPr>
      </w:pPr>
    </w:p>
    <w:p w14:paraId="154D27F8" w14:textId="77777777" w:rsidR="00542F33" w:rsidRPr="00D11FC4" w:rsidRDefault="00542F33" w:rsidP="00542F33">
      <w:pPr>
        <w:pStyle w:val="pf0"/>
        <w:ind w:left="360"/>
        <w:rPr>
          <w:rFonts w:asciiTheme="minorHAnsi" w:hAnsiTheme="minorHAnsi" w:cstheme="minorHAnsi"/>
          <w:color w:val="000000" w:themeColor="text1"/>
          <w:sz w:val="22"/>
          <w:szCs w:val="22"/>
        </w:rPr>
      </w:pPr>
    </w:p>
    <w:p w14:paraId="4EF818E7" w14:textId="77777777" w:rsidR="0046711F" w:rsidRPr="00D11FC4" w:rsidRDefault="0046711F"/>
    <w:sectPr w:rsidR="0046711F" w:rsidRPr="00D11FC4" w:rsidSect="00C26F5E">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0083" w14:textId="77777777" w:rsidR="00FC5CF2" w:rsidRDefault="00FC5CF2" w:rsidP="00DC689F">
      <w:pPr>
        <w:spacing w:after="0" w:line="240" w:lineRule="auto"/>
      </w:pPr>
      <w:r>
        <w:separator/>
      </w:r>
    </w:p>
  </w:endnote>
  <w:endnote w:type="continuationSeparator" w:id="0">
    <w:p w14:paraId="52EAC0A0" w14:textId="77777777" w:rsidR="00FC5CF2" w:rsidRDefault="00FC5CF2" w:rsidP="00DC6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8D3A" w14:textId="77777777" w:rsidR="00FC5CF2" w:rsidRDefault="00FC5CF2" w:rsidP="00DC689F">
      <w:pPr>
        <w:spacing w:after="0" w:line="240" w:lineRule="auto"/>
      </w:pPr>
      <w:r>
        <w:separator/>
      </w:r>
    </w:p>
  </w:footnote>
  <w:footnote w:type="continuationSeparator" w:id="0">
    <w:p w14:paraId="51A1F8EF" w14:textId="77777777" w:rsidR="00FC5CF2" w:rsidRDefault="00FC5CF2" w:rsidP="00DC6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9BB5" w14:textId="27F6B5A9" w:rsidR="00DC689F" w:rsidRDefault="00DC689F" w:rsidP="00DC689F">
    <w:pPr>
      <w:pStyle w:val="Header"/>
      <w:jc w:val="center"/>
    </w:pPr>
    <w:r>
      <w:t>Polycystic Ovarian Syndrome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68C2"/>
    <w:multiLevelType w:val="hybridMultilevel"/>
    <w:tmpl w:val="8534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355E7"/>
    <w:multiLevelType w:val="hybridMultilevel"/>
    <w:tmpl w:val="88DCDDFC"/>
    <w:lvl w:ilvl="0" w:tplc="BDA03584">
      <w:start w:val="200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9279C"/>
    <w:multiLevelType w:val="hybridMultilevel"/>
    <w:tmpl w:val="BEC2A46A"/>
    <w:lvl w:ilvl="0" w:tplc="6B24D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310D76"/>
    <w:multiLevelType w:val="hybridMultilevel"/>
    <w:tmpl w:val="4FD29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74213"/>
    <w:multiLevelType w:val="hybridMultilevel"/>
    <w:tmpl w:val="665E841E"/>
    <w:lvl w:ilvl="0" w:tplc="BDA03584">
      <w:start w:val="2009"/>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D6E63"/>
    <w:multiLevelType w:val="hybridMultilevel"/>
    <w:tmpl w:val="8DD25A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801F6"/>
    <w:multiLevelType w:val="hybridMultilevel"/>
    <w:tmpl w:val="0DFCF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D3811"/>
    <w:multiLevelType w:val="hybridMultilevel"/>
    <w:tmpl w:val="63FC2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C27E60"/>
    <w:multiLevelType w:val="hybridMultilevel"/>
    <w:tmpl w:val="961AF7DE"/>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144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BDA03584">
      <w:start w:val="2009"/>
      <w:numFmt w:val="bullet"/>
      <w:lvlText w:val="-"/>
      <w:lvlJc w:val="left"/>
      <w:pPr>
        <w:ind w:left="3600" w:hanging="360"/>
      </w:pPr>
      <w:rPr>
        <w:rFonts w:ascii="Calibri" w:eastAsia="Times New Roman" w:hAnsi="Calibri" w:cs="Calibri"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C55FEA"/>
    <w:multiLevelType w:val="hybridMultilevel"/>
    <w:tmpl w:val="5F8011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23E9B"/>
    <w:multiLevelType w:val="hybridMultilevel"/>
    <w:tmpl w:val="5F8011DC"/>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C32D34"/>
    <w:multiLevelType w:val="hybridMultilevel"/>
    <w:tmpl w:val="FAB0D7D4"/>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85461C"/>
    <w:multiLevelType w:val="hybridMultilevel"/>
    <w:tmpl w:val="D814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968B2"/>
    <w:multiLevelType w:val="hybridMultilevel"/>
    <w:tmpl w:val="F87C5730"/>
    <w:lvl w:ilvl="0" w:tplc="8D581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34673"/>
    <w:multiLevelType w:val="hybridMultilevel"/>
    <w:tmpl w:val="C818E0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B95AFF"/>
    <w:multiLevelType w:val="multilevel"/>
    <w:tmpl w:val="70D8766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5F6E5953"/>
    <w:multiLevelType w:val="hybridMultilevel"/>
    <w:tmpl w:val="0AF60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04EFF"/>
    <w:multiLevelType w:val="multilevel"/>
    <w:tmpl w:val="A126DE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65426188"/>
    <w:multiLevelType w:val="hybridMultilevel"/>
    <w:tmpl w:val="4A52AFDC"/>
    <w:lvl w:ilvl="0" w:tplc="2A06B116">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A23F1C"/>
    <w:multiLevelType w:val="hybridMultilevel"/>
    <w:tmpl w:val="5E3E027E"/>
    <w:lvl w:ilvl="0" w:tplc="ABBA80C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E461E"/>
    <w:multiLevelType w:val="hybridMultilevel"/>
    <w:tmpl w:val="7E46B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A670E1"/>
    <w:multiLevelType w:val="hybridMultilevel"/>
    <w:tmpl w:val="0E5E7FD4"/>
    <w:lvl w:ilvl="0" w:tplc="A7AE4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6091324">
    <w:abstractNumId w:val="6"/>
  </w:num>
  <w:num w:numId="2" w16cid:durableId="262417841">
    <w:abstractNumId w:val="0"/>
  </w:num>
  <w:num w:numId="3" w16cid:durableId="744455480">
    <w:abstractNumId w:val="20"/>
  </w:num>
  <w:num w:numId="4" w16cid:durableId="1376390295">
    <w:abstractNumId w:val="2"/>
  </w:num>
  <w:num w:numId="5" w16cid:durableId="566307779">
    <w:abstractNumId w:val="18"/>
  </w:num>
  <w:num w:numId="6" w16cid:durableId="688531637">
    <w:abstractNumId w:val="19"/>
  </w:num>
  <w:num w:numId="7" w16cid:durableId="2066025937">
    <w:abstractNumId w:val="9"/>
  </w:num>
  <w:num w:numId="8" w16cid:durableId="1339578431">
    <w:abstractNumId w:val="5"/>
  </w:num>
  <w:num w:numId="9" w16cid:durableId="1554079346">
    <w:abstractNumId w:val="4"/>
  </w:num>
  <w:num w:numId="10" w16cid:durableId="1154025225">
    <w:abstractNumId w:val="13"/>
  </w:num>
  <w:num w:numId="11" w16cid:durableId="1384906996">
    <w:abstractNumId w:val="21"/>
  </w:num>
  <w:num w:numId="12" w16cid:durableId="458303710">
    <w:abstractNumId w:val="10"/>
  </w:num>
  <w:num w:numId="13" w16cid:durableId="1658873658">
    <w:abstractNumId w:val="11"/>
  </w:num>
  <w:num w:numId="14" w16cid:durableId="167720249">
    <w:abstractNumId w:val="8"/>
  </w:num>
  <w:num w:numId="15" w16cid:durableId="706104615">
    <w:abstractNumId w:val="1"/>
  </w:num>
  <w:num w:numId="16" w16cid:durableId="1075710027">
    <w:abstractNumId w:val="14"/>
  </w:num>
  <w:num w:numId="17" w16cid:durableId="1829327429">
    <w:abstractNumId w:val="12"/>
  </w:num>
  <w:num w:numId="18" w16cid:durableId="1322153445">
    <w:abstractNumId w:val="7"/>
  </w:num>
  <w:num w:numId="19" w16cid:durableId="1334455504">
    <w:abstractNumId w:val="16"/>
  </w:num>
  <w:num w:numId="20" w16cid:durableId="492766091">
    <w:abstractNumId w:val="3"/>
  </w:num>
  <w:num w:numId="21" w16cid:durableId="1678196169">
    <w:abstractNumId w:val="15"/>
  </w:num>
  <w:num w:numId="22" w16cid:durableId="7941065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47"/>
    <w:rsid w:val="0000655B"/>
    <w:rsid w:val="000178DD"/>
    <w:rsid w:val="0003717F"/>
    <w:rsid w:val="00040E2B"/>
    <w:rsid w:val="00047255"/>
    <w:rsid w:val="00052628"/>
    <w:rsid w:val="00074824"/>
    <w:rsid w:val="0008642C"/>
    <w:rsid w:val="0011447F"/>
    <w:rsid w:val="001A1B83"/>
    <w:rsid w:val="001A688F"/>
    <w:rsid w:val="001B06A5"/>
    <w:rsid w:val="001C5DA3"/>
    <w:rsid w:val="001D2FAA"/>
    <w:rsid w:val="001D74CB"/>
    <w:rsid w:val="001E6DA3"/>
    <w:rsid w:val="002C10C3"/>
    <w:rsid w:val="002C1B1D"/>
    <w:rsid w:val="002D69E5"/>
    <w:rsid w:val="002F3F98"/>
    <w:rsid w:val="003745F8"/>
    <w:rsid w:val="003804FD"/>
    <w:rsid w:val="00393F77"/>
    <w:rsid w:val="003A3701"/>
    <w:rsid w:val="003F32B4"/>
    <w:rsid w:val="00413ECF"/>
    <w:rsid w:val="00463F9E"/>
    <w:rsid w:val="0046711F"/>
    <w:rsid w:val="00471578"/>
    <w:rsid w:val="00473B76"/>
    <w:rsid w:val="00526EE2"/>
    <w:rsid w:val="00542F33"/>
    <w:rsid w:val="00571F19"/>
    <w:rsid w:val="005C43E9"/>
    <w:rsid w:val="005C72FE"/>
    <w:rsid w:val="005E6496"/>
    <w:rsid w:val="00644359"/>
    <w:rsid w:val="00661F38"/>
    <w:rsid w:val="00697C34"/>
    <w:rsid w:val="00722918"/>
    <w:rsid w:val="00746710"/>
    <w:rsid w:val="00756ED8"/>
    <w:rsid w:val="007658D2"/>
    <w:rsid w:val="00770AD0"/>
    <w:rsid w:val="00780062"/>
    <w:rsid w:val="00782376"/>
    <w:rsid w:val="007A7629"/>
    <w:rsid w:val="007B5F48"/>
    <w:rsid w:val="007D22AA"/>
    <w:rsid w:val="007D3F9D"/>
    <w:rsid w:val="00815627"/>
    <w:rsid w:val="00821D1B"/>
    <w:rsid w:val="0082689D"/>
    <w:rsid w:val="00853791"/>
    <w:rsid w:val="008902E2"/>
    <w:rsid w:val="008A5FE9"/>
    <w:rsid w:val="008A64E9"/>
    <w:rsid w:val="008E7766"/>
    <w:rsid w:val="008F66AA"/>
    <w:rsid w:val="00943BF6"/>
    <w:rsid w:val="0097176F"/>
    <w:rsid w:val="009A4A86"/>
    <w:rsid w:val="009C3ECC"/>
    <w:rsid w:val="00A3598D"/>
    <w:rsid w:val="00A56061"/>
    <w:rsid w:val="00A707C1"/>
    <w:rsid w:val="00B17E9D"/>
    <w:rsid w:val="00B63599"/>
    <w:rsid w:val="00B87758"/>
    <w:rsid w:val="00B925F0"/>
    <w:rsid w:val="00BA7CF3"/>
    <w:rsid w:val="00C2261E"/>
    <w:rsid w:val="00C26F5E"/>
    <w:rsid w:val="00C33A5D"/>
    <w:rsid w:val="00C50AA4"/>
    <w:rsid w:val="00C54B9E"/>
    <w:rsid w:val="00D112BF"/>
    <w:rsid w:val="00D11745"/>
    <w:rsid w:val="00D11FC4"/>
    <w:rsid w:val="00D3018B"/>
    <w:rsid w:val="00D30707"/>
    <w:rsid w:val="00D36A26"/>
    <w:rsid w:val="00D56A67"/>
    <w:rsid w:val="00DB6B34"/>
    <w:rsid w:val="00DC689F"/>
    <w:rsid w:val="00DF0B37"/>
    <w:rsid w:val="00E304E0"/>
    <w:rsid w:val="00E345C1"/>
    <w:rsid w:val="00E42EE5"/>
    <w:rsid w:val="00E60662"/>
    <w:rsid w:val="00E82033"/>
    <w:rsid w:val="00E91247"/>
    <w:rsid w:val="00EA1EA6"/>
    <w:rsid w:val="00EA4AA9"/>
    <w:rsid w:val="00EB1C84"/>
    <w:rsid w:val="00EB75DF"/>
    <w:rsid w:val="00EB7CDD"/>
    <w:rsid w:val="00EE43B9"/>
    <w:rsid w:val="00EF4BDD"/>
    <w:rsid w:val="00F21716"/>
    <w:rsid w:val="00F34EDB"/>
    <w:rsid w:val="00F40287"/>
    <w:rsid w:val="00F5097F"/>
    <w:rsid w:val="00F535C1"/>
    <w:rsid w:val="00F7109A"/>
    <w:rsid w:val="00F85F6C"/>
    <w:rsid w:val="00F87A6C"/>
    <w:rsid w:val="00FB336D"/>
    <w:rsid w:val="00FB44ED"/>
    <w:rsid w:val="00FC5CF2"/>
    <w:rsid w:val="00FE5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2D10"/>
  <w15:docId w15:val="{D214E697-B0D5-4032-8136-F621EA9E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124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247"/>
    <w:pPr>
      <w:ind w:left="720"/>
      <w:contextualSpacing/>
    </w:pPr>
  </w:style>
  <w:style w:type="paragraph" w:styleId="NormalWeb">
    <w:name w:val="Normal (Web)"/>
    <w:basedOn w:val="Normal"/>
    <w:uiPriority w:val="99"/>
    <w:semiHidden/>
    <w:unhideWhenUsed/>
    <w:rsid w:val="003804F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11745"/>
    <w:rPr>
      <w:sz w:val="16"/>
      <w:szCs w:val="16"/>
    </w:rPr>
  </w:style>
  <w:style w:type="paragraph" w:styleId="CommentText">
    <w:name w:val="annotation text"/>
    <w:basedOn w:val="Normal"/>
    <w:link w:val="CommentTextChar"/>
    <w:uiPriority w:val="99"/>
    <w:unhideWhenUsed/>
    <w:rsid w:val="00D11745"/>
    <w:pPr>
      <w:spacing w:line="240" w:lineRule="auto"/>
    </w:pPr>
    <w:rPr>
      <w:sz w:val="20"/>
      <w:szCs w:val="20"/>
    </w:rPr>
  </w:style>
  <w:style w:type="character" w:customStyle="1" w:styleId="CommentTextChar">
    <w:name w:val="Comment Text Char"/>
    <w:basedOn w:val="DefaultParagraphFont"/>
    <w:link w:val="CommentText"/>
    <w:uiPriority w:val="99"/>
    <w:rsid w:val="00D11745"/>
    <w:rPr>
      <w:sz w:val="20"/>
      <w:szCs w:val="20"/>
    </w:rPr>
  </w:style>
  <w:style w:type="paragraph" w:styleId="CommentSubject">
    <w:name w:val="annotation subject"/>
    <w:basedOn w:val="CommentText"/>
    <w:next w:val="CommentText"/>
    <w:link w:val="CommentSubjectChar"/>
    <w:uiPriority w:val="99"/>
    <w:semiHidden/>
    <w:unhideWhenUsed/>
    <w:rsid w:val="00D11745"/>
    <w:rPr>
      <w:b/>
      <w:bCs/>
    </w:rPr>
  </w:style>
  <w:style w:type="character" w:customStyle="1" w:styleId="CommentSubjectChar">
    <w:name w:val="Comment Subject Char"/>
    <w:basedOn w:val="CommentTextChar"/>
    <w:link w:val="CommentSubject"/>
    <w:uiPriority w:val="99"/>
    <w:semiHidden/>
    <w:rsid w:val="00D11745"/>
    <w:rPr>
      <w:b/>
      <w:bCs/>
      <w:sz w:val="20"/>
      <w:szCs w:val="20"/>
    </w:rPr>
  </w:style>
  <w:style w:type="paragraph" w:styleId="Revision">
    <w:name w:val="Revision"/>
    <w:hidden/>
    <w:uiPriority w:val="99"/>
    <w:semiHidden/>
    <w:rsid w:val="001E6DA3"/>
    <w:rPr>
      <w:sz w:val="22"/>
      <w:szCs w:val="22"/>
    </w:rPr>
  </w:style>
  <w:style w:type="paragraph" w:customStyle="1" w:styleId="pf0">
    <w:name w:val="pf0"/>
    <w:basedOn w:val="Normal"/>
    <w:rsid w:val="00B635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63599"/>
    <w:rPr>
      <w:rFonts w:ascii="Segoe UI" w:hAnsi="Segoe UI" w:cs="Segoe UI" w:hint="default"/>
      <w:sz w:val="18"/>
      <w:szCs w:val="18"/>
    </w:rPr>
  </w:style>
  <w:style w:type="character" w:customStyle="1" w:styleId="cf11">
    <w:name w:val="cf11"/>
    <w:basedOn w:val="DefaultParagraphFont"/>
    <w:rsid w:val="00B63599"/>
    <w:rPr>
      <w:rFonts w:ascii="Segoe UI" w:hAnsi="Segoe UI" w:cs="Segoe UI" w:hint="default"/>
      <w:color w:val="505050"/>
      <w:sz w:val="18"/>
      <w:szCs w:val="18"/>
    </w:rPr>
  </w:style>
  <w:style w:type="character" w:styleId="PlaceholderText">
    <w:name w:val="Placeholder Text"/>
    <w:basedOn w:val="DefaultParagraphFont"/>
    <w:uiPriority w:val="99"/>
    <w:semiHidden/>
    <w:rsid w:val="00C54B9E"/>
    <w:rPr>
      <w:color w:val="808080"/>
    </w:rPr>
  </w:style>
  <w:style w:type="paragraph" w:styleId="BalloonText">
    <w:name w:val="Balloon Text"/>
    <w:basedOn w:val="Normal"/>
    <w:link w:val="BalloonTextChar"/>
    <w:uiPriority w:val="99"/>
    <w:semiHidden/>
    <w:unhideWhenUsed/>
    <w:rsid w:val="008F66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66AA"/>
    <w:rPr>
      <w:rFonts w:ascii="Times New Roman" w:hAnsi="Times New Roman" w:cs="Times New Roman"/>
      <w:sz w:val="18"/>
      <w:szCs w:val="18"/>
    </w:rPr>
  </w:style>
  <w:style w:type="paragraph" w:styleId="Header">
    <w:name w:val="header"/>
    <w:basedOn w:val="Normal"/>
    <w:link w:val="HeaderChar"/>
    <w:uiPriority w:val="99"/>
    <w:unhideWhenUsed/>
    <w:rsid w:val="00DC6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89F"/>
    <w:rPr>
      <w:sz w:val="22"/>
      <w:szCs w:val="22"/>
    </w:rPr>
  </w:style>
  <w:style w:type="paragraph" w:styleId="Footer">
    <w:name w:val="footer"/>
    <w:basedOn w:val="Normal"/>
    <w:link w:val="FooterChar"/>
    <w:uiPriority w:val="99"/>
    <w:unhideWhenUsed/>
    <w:rsid w:val="00DC6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89F"/>
    <w:rPr>
      <w:sz w:val="22"/>
      <w:szCs w:val="22"/>
    </w:rPr>
  </w:style>
  <w:style w:type="character" w:styleId="Emphasis">
    <w:name w:val="Emphasis"/>
    <w:basedOn w:val="DefaultParagraphFont"/>
    <w:uiPriority w:val="20"/>
    <w:qFormat/>
    <w:rsid w:val="00D11F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4678">
      <w:bodyDiv w:val="1"/>
      <w:marLeft w:val="0"/>
      <w:marRight w:val="0"/>
      <w:marTop w:val="0"/>
      <w:marBottom w:val="0"/>
      <w:divBdr>
        <w:top w:val="none" w:sz="0" w:space="0" w:color="auto"/>
        <w:left w:val="none" w:sz="0" w:space="0" w:color="auto"/>
        <w:bottom w:val="none" w:sz="0" w:space="0" w:color="auto"/>
        <w:right w:val="none" w:sz="0" w:space="0" w:color="auto"/>
      </w:divBdr>
    </w:div>
    <w:div w:id="203715320">
      <w:bodyDiv w:val="1"/>
      <w:marLeft w:val="0"/>
      <w:marRight w:val="0"/>
      <w:marTop w:val="0"/>
      <w:marBottom w:val="0"/>
      <w:divBdr>
        <w:top w:val="none" w:sz="0" w:space="0" w:color="auto"/>
        <w:left w:val="none" w:sz="0" w:space="0" w:color="auto"/>
        <w:bottom w:val="none" w:sz="0" w:space="0" w:color="auto"/>
        <w:right w:val="none" w:sz="0" w:space="0" w:color="auto"/>
      </w:divBdr>
    </w:div>
    <w:div w:id="206913768">
      <w:bodyDiv w:val="1"/>
      <w:marLeft w:val="0"/>
      <w:marRight w:val="0"/>
      <w:marTop w:val="0"/>
      <w:marBottom w:val="0"/>
      <w:divBdr>
        <w:top w:val="none" w:sz="0" w:space="0" w:color="auto"/>
        <w:left w:val="none" w:sz="0" w:space="0" w:color="auto"/>
        <w:bottom w:val="none" w:sz="0" w:space="0" w:color="auto"/>
        <w:right w:val="none" w:sz="0" w:space="0" w:color="auto"/>
      </w:divBdr>
    </w:div>
    <w:div w:id="313146273">
      <w:bodyDiv w:val="1"/>
      <w:marLeft w:val="0"/>
      <w:marRight w:val="0"/>
      <w:marTop w:val="0"/>
      <w:marBottom w:val="0"/>
      <w:divBdr>
        <w:top w:val="none" w:sz="0" w:space="0" w:color="auto"/>
        <w:left w:val="none" w:sz="0" w:space="0" w:color="auto"/>
        <w:bottom w:val="none" w:sz="0" w:space="0" w:color="auto"/>
        <w:right w:val="none" w:sz="0" w:space="0" w:color="auto"/>
      </w:divBdr>
    </w:div>
    <w:div w:id="592008995">
      <w:bodyDiv w:val="1"/>
      <w:marLeft w:val="0"/>
      <w:marRight w:val="0"/>
      <w:marTop w:val="0"/>
      <w:marBottom w:val="0"/>
      <w:divBdr>
        <w:top w:val="none" w:sz="0" w:space="0" w:color="auto"/>
        <w:left w:val="none" w:sz="0" w:space="0" w:color="auto"/>
        <w:bottom w:val="none" w:sz="0" w:space="0" w:color="auto"/>
        <w:right w:val="none" w:sz="0" w:space="0" w:color="auto"/>
      </w:divBdr>
    </w:div>
    <w:div w:id="739518613">
      <w:bodyDiv w:val="1"/>
      <w:marLeft w:val="0"/>
      <w:marRight w:val="0"/>
      <w:marTop w:val="0"/>
      <w:marBottom w:val="0"/>
      <w:divBdr>
        <w:top w:val="none" w:sz="0" w:space="0" w:color="auto"/>
        <w:left w:val="none" w:sz="0" w:space="0" w:color="auto"/>
        <w:bottom w:val="none" w:sz="0" w:space="0" w:color="auto"/>
        <w:right w:val="none" w:sz="0" w:space="0" w:color="auto"/>
      </w:divBdr>
    </w:div>
    <w:div w:id="815494892">
      <w:bodyDiv w:val="1"/>
      <w:marLeft w:val="0"/>
      <w:marRight w:val="0"/>
      <w:marTop w:val="0"/>
      <w:marBottom w:val="0"/>
      <w:divBdr>
        <w:top w:val="none" w:sz="0" w:space="0" w:color="auto"/>
        <w:left w:val="none" w:sz="0" w:space="0" w:color="auto"/>
        <w:bottom w:val="none" w:sz="0" w:space="0" w:color="auto"/>
        <w:right w:val="none" w:sz="0" w:space="0" w:color="auto"/>
      </w:divBdr>
    </w:div>
    <w:div w:id="815756314">
      <w:bodyDiv w:val="1"/>
      <w:marLeft w:val="0"/>
      <w:marRight w:val="0"/>
      <w:marTop w:val="0"/>
      <w:marBottom w:val="0"/>
      <w:divBdr>
        <w:top w:val="none" w:sz="0" w:space="0" w:color="auto"/>
        <w:left w:val="none" w:sz="0" w:space="0" w:color="auto"/>
        <w:bottom w:val="none" w:sz="0" w:space="0" w:color="auto"/>
        <w:right w:val="none" w:sz="0" w:space="0" w:color="auto"/>
      </w:divBdr>
    </w:div>
    <w:div w:id="991642133">
      <w:bodyDiv w:val="1"/>
      <w:marLeft w:val="0"/>
      <w:marRight w:val="0"/>
      <w:marTop w:val="0"/>
      <w:marBottom w:val="0"/>
      <w:divBdr>
        <w:top w:val="none" w:sz="0" w:space="0" w:color="auto"/>
        <w:left w:val="none" w:sz="0" w:space="0" w:color="auto"/>
        <w:bottom w:val="none" w:sz="0" w:space="0" w:color="auto"/>
        <w:right w:val="none" w:sz="0" w:space="0" w:color="auto"/>
      </w:divBdr>
    </w:div>
    <w:div w:id="993876901">
      <w:bodyDiv w:val="1"/>
      <w:marLeft w:val="0"/>
      <w:marRight w:val="0"/>
      <w:marTop w:val="0"/>
      <w:marBottom w:val="0"/>
      <w:divBdr>
        <w:top w:val="none" w:sz="0" w:space="0" w:color="auto"/>
        <w:left w:val="none" w:sz="0" w:space="0" w:color="auto"/>
        <w:bottom w:val="none" w:sz="0" w:space="0" w:color="auto"/>
        <w:right w:val="none" w:sz="0" w:space="0" w:color="auto"/>
      </w:divBdr>
    </w:div>
    <w:div w:id="1198278502">
      <w:bodyDiv w:val="1"/>
      <w:marLeft w:val="0"/>
      <w:marRight w:val="0"/>
      <w:marTop w:val="0"/>
      <w:marBottom w:val="0"/>
      <w:divBdr>
        <w:top w:val="none" w:sz="0" w:space="0" w:color="auto"/>
        <w:left w:val="none" w:sz="0" w:space="0" w:color="auto"/>
        <w:bottom w:val="none" w:sz="0" w:space="0" w:color="auto"/>
        <w:right w:val="none" w:sz="0" w:space="0" w:color="auto"/>
      </w:divBdr>
    </w:div>
    <w:div w:id="1279678266">
      <w:bodyDiv w:val="1"/>
      <w:marLeft w:val="0"/>
      <w:marRight w:val="0"/>
      <w:marTop w:val="0"/>
      <w:marBottom w:val="0"/>
      <w:divBdr>
        <w:top w:val="none" w:sz="0" w:space="0" w:color="auto"/>
        <w:left w:val="none" w:sz="0" w:space="0" w:color="auto"/>
        <w:bottom w:val="none" w:sz="0" w:space="0" w:color="auto"/>
        <w:right w:val="none" w:sz="0" w:space="0" w:color="auto"/>
      </w:divBdr>
    </w:div>
    <w:div w:id="1338339761">
      <w:bodyDiv w:val="1"/>
      <w:marLeft w:val="0"/>
      <w:marRight w:val="0"/>
      <w:marTop w:val="0"/>
      <w:marBottom w:val="0"/>
      <w:divBdr>
        <w:top w:val="none" w:sz="0" w:space="0" w:color="auto"/>
        <w:left w:val="none" w:sz="0" w:space="0" w:color="auto"/>
        <w:bottom w:val="none" w:sz="0" w:space="0" w:color="auto"/>
        <w:right w:val="none" w:sz="0" w:space="0" w:color="auto"/>
      </w:divBdr>
    </w:div>
    <w:div w:id="1471940524">
      <w:bodyDiv w:val="1"/>
      <w:marLeft w:val="0"/>
      <w:marRight w:val="0"/>
      <w:marTop w:val="0"/>
      <w:marBottom w:val="0"/>
      <w:divBdr>
        <w:top w:val="none" w:sz="0" w:space="0" w:color="auto"/>
        <w:left w:val="none" w:sz="0" w:space="0" w:color="auto"/>
        <w:bottom w:val="none" w:sz="0" w:space="0" w:color="auto"/>
        <w:right w:val="none" w:sz="0" w:space="0" w:color="auto"/>
      </w:divBdr>
    </w:div>
    <w:div w:id="1516768299">
      <w:bodyDiv w:val="1"/>
      <w:marLeft w:val="0"/>
      <w:marRight w:val="0"/>
      <w:marTop w:val="0"/>
      <w:marBottom w:val="0"/>
      <w:divBdr>
        <w:top w:val="none" w:sz="0" w:space="0" w:color="auto"/>
        <w:left w:val="none" w:sz="0" w:space="0" w:color="auto"/>
        <w:bottom w:val="none" w:sz="0" w:space="0" w:color="auto"/>
        <w:right w:val="none" w:sz="0" w:space="0" w:color="auto"/>
      </w:divBdr>
    </w:div>
    <w:div w:id="1834178855">
      <w:bodyDiv w:val="1"/>
      <w:marLeft w:val="0"/>
      <w:marRight w:val="0"/>
      <w:marTop w:val="0"/>
      <w:marBottom w:val="0"/>
      <w:divBdr>
        <w:top w:val="none" w:sz="0" w:space="0" w:color="auto"/>
        <w:left w:val="none" w:sz="0" w:space="0" w:color="auto"/>
        <w:bottom w:val="none" w:sz="0" w:space="0" w:color="auto"/>
        <w:right w:val="none" w:sz="0" w:space="0" w:color="auto"/>
      </w:divBdr>
    </w:div>
    <w:div w:id="1846703018">
      <w:bodyDiv w:val="1"/>
      <w:marLeft w:val="0"/>
      <w:marRight w:val="0"/>
      <w:marTop w:val="0"/>
      <w:marBottom w:val="0"/>
      <w:divBdr>
        <w:top w:val="none" w:sz="0" w:space="0" w:color="auto"/>
        <w:left w:val="none" w:sz="0" w:space="0" w:color="auto"/>
        <w:bottom w:val="none" w:sz="0" w:space="0" w:color="auto"/>
        <w:right w:val="none" w:sz="0" w:space="0" w:color="auto"/>
      </w:divBdr>
    </w:div>
    <w:div w:id="1948540377">
      <w:bodyDiv w:val="1"/>
      <w:marLeft w:val="0"/>
      <w:marRight w:val="0"/>
      <w:marTop w:val="0"/>
      <w:marBottom w:val="0"/>
      <w:divBdr>
        <w:top w:val="none" w:sz="0" w:space="0" w:color="auto"/>
        <w:left w:val="none" w:sz="0" w:space="0" w:color="auto"/>
        <w:bottom w:val="none" w:sz="0" w:space="0" w:color="auto"/>
        <w:right w:val="none" w:sz="0" w:space="0" w:color="auto"/>
      </w:divBdr>
    </w:div>
    <w:div w:id="2103139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6</Pages>
  <Words>2602</Words>
  <Characters>14836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N Zarling</dc:creator>
  <cp:keywords/>
  <dc:description/>
  <cp:lastModifiedBy>Yilin Zhang</cp:lastModifiedBy>
  <cp:revision>4</cp:revision>
  <dcterms:created xsi:type="dcterms:W3CDTF">2022-06-03T19:26:00Z</dcterms:created>
  <dcterms:modified xsi:type="dcterms:W3CDTF">2022-07-11T20:49:00Z</dcterms:modified>
</cp:coreProperties>
</file>